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4" w:rsidRPr="00974F19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r w:rsidRPr="00974F19">
        <w:t>ОБЩАЯ ХАРАКТЕРИСТИКА МУНИЦИПАЛЬНОЙ ПРОГРАММЫ.</w:t>
      </w:r>
    </w:p>
    <w:p w:rsidR="00650414" w:rsidRPr="00974F19" w:rsidRDefault="00650414" w:rsidP="00650414"/>
    <w:p w:rsidR="00650414" w:rsidRPr="00974F19" w:rsidRDefault="00650414" w:rsidP="00650414">
      <w:pPr>
        <w:ind w:left="-6" w:firstLine="857"/>
        <w:jc w:val="both"/>
      </w:pPr>
      <w:r w:rsidRPr="00974F19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Pr="00974F19" w:rsidRDefault="00650414" w:rsidP="00650414">
      <w:pPr>
        <w:ind w:left="-6" w:firstLine="857"/>
        <w:jc w:val="both"/>
      </w:pPr>
      <w:r w:rsidRPr="00974F19">
        <w:t xml:space="preserve">В Городе Томске 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650414" w:rsidRPr="00974F19" w:rsidRDefault="00650414" w:rsidP="00650414">
      <w:pPr>
        <w:shd w:val="clear" w:color="auto" w:fill="FFFFFF"/>
        <w:ind w:firstLine="851"/>
        <w:jc w:val="both"/>
      </w:pPr>
      <w:r w:rsidRPr="00974F19">
        <w:t xml:space="preserve">С целью </w:t>
      </w:r>
      <w:proofErr w:type="gramStart"/>
      <w:r w:rsidRPr="00974F19">
        <w:t>улучшения качества жизни жителей города</w:t>
      </w:r>
      <w:proofErr w:type="gramEnd"/>
      <w:r w:rsidRPr="00974F19">
        <w:t xml:space="preserve"> была разработана стратегия социально-экономического развития муниципального образования «Город Томск» до 2030 года. Ее цели и задачи в части развития систем инженерно-технического обеспечения города легли в основу утверждаемой на период 2015-</w:t>
      </w:r>
      <w:r w:rsidR="00155D64">
        <w:t>2025</w:t>
      </w:r>
      <w:r w:rsidRPr="00974F19">
        <w:t xml:space="preserve"> гг. муниципальной программы «Развитие инженерной инфраструктуры для обеспечения </w:t>
      </w:r>
      <w:r w:rsidRPr="00D74F6A">
        <w:t>населения коммунальными услугами</w:t>
      </w:r>
      <w:r w:rsidR="004A71E3">
        <w:t xml:space="preserve"> на 2015-</w:t>
      </w:r>
      <w:r w:rsidR="00155D64">
        <w:t>2025</w:t>
      </w:r>
      <w:r w:rsidR="00D74F6A" w:rsidRPr="00D74F6A">
        <w:t xml:space="preserve"> годы</w:t>
      </w:r>
      <w:r w:rsidRPr="00D74F6A">
        <w:t>» (далее – Программа). В рамках реализаци</w:t>
      </w:r>
      <w:r w:rsidRPr="00974F19">
        <w:t>и Программы планируется увеличение защищенной части территории города (90 %) от негативного воздействия сточных и (или) дренажных вод, снижение количества жалоб населения по вопросам обеспечения коммунальными ресурсами</w:t>
      </w:r>
      <w:r w:rsidRPr="00974F19">
        <w:rPr>
          <w:i/>
        </w:rPr>
        <w:t xml:space="preserve">, </w:t>
      </w:r>
      <w:r w:rsidRPr="00974F19">
        <w:t>увеличение протяженности вновь построенных сетей водоснабжения и водоотведения и общего уровня газификации.</w:t>
      </w:r>
    </w:p>
    <w:p w:rsidR="00650414" w:rsidRPr="00974F19" w:rsidRDefault="00650414" w:rsidP="00650414">
      <w:pPr>
        <w:shd w:val="clear" w:color="auto" w:fill="FFFFFF"/>
        <w:ind w:firstLine="851"/>
        <w:jc w:val="both"/>
      </w:pPr>
      <w:r w:rsidRPr="00974F19">
        <w:t xml:space="preserve">Решение стратегических задач и показателей Программы позволит значительно улучшить инфраструктуру жизнеобеспечения города. Показатели цели и задач мероприятий программы приведены в приложении 1. </w:t>
      </w:r>
      <w:r w:rsidR="008E70AA">
        <w:t>Ресурсное обеспечение муниципальной программы</w:t>
      </w:r>
      <w:r w:rsidRPr="00974F19">
        <w:t xml:space="preserve"> с указанием объема финансирования </w:t>
      </w:r>
      <w:r w:rsidR="008E70AA">
        <w:t>отражено</w:t>
      </w:r>
      <w:r w:rsidRPr="00974F19">
        <w:t xml:space="preserve"> в приложении 2.</w:t>
      </w:r>
    </w:p>
    <w:p w:rsidR="00650414" w:rsidRPr="00974F19" w:rsidRDefault="00650414" w:rsidP="00650414">
      <w:pPr>
        <w:shd w:val="clear" w:color="auto" w:fill="FFFFFF"/>
        <w:ind w:firstLine="851"/>
        <w:jc w:val="both"/>
      </w:pPr>
      <w:proofErr w:type="gramStart"/>
      <w:r w:rsidRPr="00974F19">
        <w:t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</w:t>
      </w:r>
      <w:proofErr w:type="gramEnd"/>
      <w:r w:rsidRPr="00974F19">
        <w:t xml:space="preserve"> 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974F19">
        <w:t>.</w:t>
      </w:r>
      <w:proofErr w:type="gramEnd"/>
      <w:r w:rsidRPr="00974F19">
        <w:t xml:space="preserve"> </w:t>
      </w:r>
      <w:proofErr w:type="gramStart"/>
      <w:r w:rsidRPr="00974F19">
        <w:t>и</w:t>
      </w:r>
      <w:proofErr w:type="gramEnd"/>
      <w:r w:rsidRPr="00974F19">
        <w:t xml:space="preserve"> 426 650 чел. соответственно, - и Чита (Забайкальский край), - 534 кв.км. и 339 453 чел. соответственно. Однако, среди городов – областных центров субъектов РФ, входящих в СФО, нет сопоставимых с МО «Город Томск» одновременно по всем вышеназванным критериям, исходя из чего можно сделать вывод о невозможности достоверного </w:t>
      </w:r>
      <w:proofErr w:type="gramStart"/>
      <w:r w:rsidRPr="00974F19">
        <w:t>сравнения показателей развитости систем инженерной инфраструктуры</w:t>
      </w:r>
      <w:proofErr w:type="gramEnd"/>
      <w:r w:rsidRPr="00974F19">
        <w:t xml:space="preserve"> МО «Город Томск» с другими областными центрами субъектов РФ СФО.</w:t>
      </w:r>
    </w:p>
    <w:p w:rsidR="00650414" w:rsidRPr="00974F19" w:rsidRDefault="00650414" w:rsidP="00650414">
      <w:pPr>
        <w:shd w:val="clear" w:color="auto" w:fill="FFFFFF"/>
        <w:ind w:firstLine="851"/>
        <w:jc w:val="both"/>
        <w:rPr>
          <w:i/>
        </w:rPr>
      </w:pPr>
    </w:p>
    <w:p w:rsidR="00650414" w:rsidRPr="00974F19" w:rsidRDefault="00650414" w:rsidP="00650414">
      <w:pPr>
        <w:numPr>
          <w:ilvl w:val="0"/>
          <w:numId w:val="1"/>
        </w:numPr>
        <w:jc w:val="center"/>
        <w:rPr>
          <w:lang w:val="en-US"/>
        </w:rPr>
      </w:pPr>
      <w:r w:rsidRPr="00974F19">
        <w:t>МЕХАНИЗМЫ УПРАВЛЕНИЯ И КОНТРОЛЯ.</w:t>
      </w:r>
    </w:p>
    <w:p w:rsidR="00650414" w:rsidRPr="00974F19" w:rsidRDefault="00650414" w:rsidP="00650414">
      <w:pPr>
        <w:ind w:left="1800"/>
      </w:pPr>
    </w:p>
    <w:p w:rsidR="00650414" w:rsidRPr="00974F19" w:rsidRDefault="00650414" w:rsidP="00650414">
      <w:pPr>
        <w:ind w:firstLine="851"/>
        <w:jc w:val="both"/>
      </w:pPr>
      <w:r w:rsidRPr="00974F19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974F19" w:rsidRDefault="00650414" w:rsidP="00650414">
      <w:pPr>
        <w:ind w:firstLine="851"/>
        <w:jc w:val="both"/>
        <w:rPr>
          <w:spacing w:val="-4"/>
        </w:rPr>
      </w:pPr>
      <w:r w:rsidRPr="00974F19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</w:t>
      </w:r>
      <w:r>
        <w:rPr>
          <w:spacing w:val="-4"/>
        </w:rPr>
        <w:t xml:space="preserve"> и федерального</w:t>
      </w:r>
      <w:r w:rsidRPr="00974F19">
        <w:rPr>
          <w:spacing w:val="-4"/>
        </w:rPr>
        <w:t xml:space="preserve"> бюджет</w:t>
      </w:r>
      <w:r>
        <w:rPr>
          <w:spacing w:val="-4"/>
        </w:rPr>
        <w:t>ов</w:t>
      </w:r>
      <w:r w:rsidRPr="00974F19">
        <w:rPr>
          <w:spacing w:val="-4"/>
        </w:rPr>
        <w:t xml:space="preserve"> в </w:t>
      </w:r>
      <w:r w:rsidRPr="00974F19">
        <w:rPr>
          <w:spacing w:val="-4"/>
        </w:rPr>
        <w:lastRenderedPageBreak/>
        <w:t>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974F19" w:rsidRDefault="00650414" w:rsidP="00650414">
      <w:pPr>
        <w:ind w:firstLine="851"/>
        <w:jc w:val="both"/>
      </w:pPr>
      <w:r w:rsidRPr="00974F19">
        <w:t xml:space="preserve">Реализация Программы осуществляется в несколько этапов (2015 - </w:t>
      </w:r>
      <w:r w:rsidR="00155D64">
        <w:t>2025</w:t>
      </w:r>
      <w:r w:rsidRPr="00974F19">
        <w:t xml:space="preserve"> годы) путем заключения контрактов, гражданских договоров и в иных формах, предусмотренных бюджетным законодательством.</w:t>
      </w:r>
    </w:p>
    <w:p w:rsidR="00650414" w:rsidRPr="00974F19" w:rsidRDefault="00650414" w:rsidP="00650414">
      <w:pPr>
        <w:adjustRightInd w:val="0"/>
        <w:ind w:firstLine="851"/>
        <w:jc w:val="both"/>
        <w:outlineLvl w:val="1"/>
      </w:pPr>
      <w:bookmarkStart w:id="0" w:name="_Hlt81974917"/>
      <w:bookmarkStart w:id="1" w:name="_Hlt81974920"/>
      <w:bookmarkEnd w:id="0"/>
      <w:bookmarkEnd w:id="1"/>
      <w:r w:rsidRPr="00974F19">
        <w:t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хозяйства администрации Города Томска.</w:t>
      </w:r>
    </w:p>
    <w:p w:rsidR="00650414" w:rsidRPr="00974F19" w:rsidRDefault="00650414" w:rsidP="00650414">
      <w:pPr>
        <w:adjustRightInd w:val="0"/>
        <w:ind w:firstLine="851"/>
        <w:jc w:val="both"/>
        <w:outlineLvl w:val="1"/>
      </w:pPr>
      <w:r w:rsidRPr="00974F19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>
        <w:t>департаментом</w:t>
      </w:r>
      <w:r w:rsidRPr="00974F19">
        <w:t xml:space="preserve"> дорожной деятельности</w:t>
      </w:r>
      <w:r w:rsidR="00FE26C9">
        <w:t xml:space="preserve"> и</w:t>
      </w:r>
      <w:r w:rsidRPr="00974F19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974F19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74F19">
        <w:t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650414" w:rsidRPr="00974F19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74F19">
        <w:t>подготовки отчетов о ходе реализации Программы;</w:t>
      </w:r>
    </w:p>
    <w:p w:rsidR="00650414" w:rsidRPr="00974F19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74F19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974F19">
        <w:t>софинансирования</w:t>
      </w:r>
      <w:proofErr w:type="spellEnd"/>
      <w:r w:rsidRPr="00974F19">
        <w:t xml:space="preserve"> из иных бюджетных источников и внебюджетных источников.</w:t>
      </w:r>
    </w:p>
    <w:p w:rsidR="00650414" w:rsidRPr="00974F19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74F19">
        <w:tab/>
      </w:r>
      <w:r w:rsidRPr="00974F19">
        <w:tab/>
      </w:r>
      <w:proofErr w:type="gramStart"/>
      <w:r w:rsidRPr="00974F19"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>
        <w:t>департамент</w:t>
      </w:r>
      <w:r w:rsidRPr="00974F19">
        <w:t xml:space="preserve"> дорожной деятельности</w:t>
      </w:r>
      <w:r w:rsidR="00FE26C9">
        <w:t xml:space="preserve"> и</w:t>
      </w:r>
      <w:r w:rsidRPr="00974F19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Томской области, реализации иных проектов и программ в целях исполнения настоящей Программы.</w:t>
      </w:r>
      <w:proofErr w:type="gramEnd"/>
    </w:p>
    <w:p w:rsidR="0031148A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74F19">
        <w:tab/>
      </w:r>
      <w:r w:rsidRPr="00974F19">
        <w:tab/>
      </w:r>
    </w:p>
    <w:p w:rsidR="0031148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74F19">
        <w:t xml:space="preserve">Департамент городского хозяйства администрации Города Томска </w:t>
      </w:r>
      <w:r>
        <w:t xml:space="preserve">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</w:t>
      </w:r>
      <w:r w:rsidRPr="00974F19">
        <w:t xml:space="preserve">Порядку принятий решений о разработке </w:t>
      </w:r>
      <w:r>
        <w:t>муниципальных программ</w:t>
      </w:r>
      <w:r w:rsidRPr="00974F19">
        <w:t xml:space="preserve">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</w:t>
      </w:r>
      <w:proofErr w:type="gramEnd"/>
      <w:r w:rsidRPr="00974F19">
        <w:t xml:space="preserve"> от 15.07.2014 № 677</w:t>
      </w:r>
      <w:r>
        <w:t xml:space="preserve"> «</w:t>
      </w:r>
      <w:r w:rsidRPr="00D55B9D">
        <w:t>Об утверждении Порядка принятия решений о разработке муниципальных прогр</w:t>
      </w:r>
      <w:r>
        <w:t>амм муниципального образования «</w:t>
      </w:r>
      <w:r w:rsidRPr="00D55B9D">
        <w:t>Город Томск</w:t>
      </w:r>
      <w:r>
        <w:t>»</w:t>
      </w:r>
      <w:r w:rsidRPr="00D55B9D">
        <w:t>, их формирования, реализации, коррек</w:t>
      </w:r>
      <w:r>
        <w:t xml:space="preserve">тировки, мониторинга и контроля» в бумажном, а также в электронном виде (в формате MS </w:t>
      </w:r>
      <w:proofErr w:type="spellStart"/>
      <w:r>
        <w:t>Excel</w:t>
      </w:r>
      <w:proofErr w:type="spellEnd"/>
      <w:r>
        <w:t xml:space="preserve"> и MS </w:t>
      </w:r>
      <w:proofErr w:type="spellStart"/>
      <w:r>
        <w:t>Word</w:t>
      </w:r>
      <w:proofErr w:type="spellEnd"/>
      <w:r>
        <w:t xml:space="preserve"> соответственно) в управление экономического развития и департамент финансов.</w:t>
      </w:r>
    </w:p>
    <w:p w:rsidR="0031148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>
        <w:t xml:space="preserve">Управление экономического развития и департамент финансов в течение 15 рабочих дней </w:t>
      </w:r>
      <w:proofErr w:type="gramStart"/>
      <w:r>
        <w:t>с даты поступления</w:t>
      </w:r>
      <w:proofErr w:type="gramEnd"/>
      <w:r>
        <w:t xml:space="preserve"> предварительного отчета проводят проверку представленных в отчете данных:</w:t>
      </w:r>
    </w:p>
    <w:p w:rsidR="0031148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>
        <w:t>1) управление экономического развития на предмет:</w:t>
      </w:r>
    </w:p>
    <w:p w:rsidR="0031148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31148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</w:t>
      </w:r>
      <w:r>
        <w:lastRenderedPageBreak/>
        <w:t>поставленных Думой Города Томска, утвержденным распоряжением администрации Города Томска от 28.10.2015 N р1180;</w:t>
      </w:r>
    </w:p>
    <w:p w:rsidR="0031148A" w:rsidRPr="006C51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>
        <w:t xml:space="preserve">2) </w:t>
      </w:r>
      <w:r w:rsidRPr="006C51DE">
        <w:t>департамент финансов на предмет соответствия объемов финансирования муниципальной программы, указанных в предварительн</w:t>
      </w:r>
      <w:r w:rsidR="009319C2" w:rsidRPr="006C51DE">
        <w:t>ом</w:t>
      </w:r>
      <w:r w:rsidRPr="006C51DE">
        <w:t xml:space="preserve"> отчет</w:t>
      </w:r>
      <w:r w:rsidR="009319C2" w:rsidRPr="006C51DE">
        <w:t>е</w:t>
      </w:r>
      <w:r w:rsidRPr="006C51DE">
        <w:t>, утвержденным решением Думы Города Томска о бюджете муниципального образования "Город Томск" на очередной финансовый год и плановый период бюджетным ассигнованиям и произведенным кассовым расходам на их реализацию в части муниципальн</w:t>
      </w:r>
      <w:r w:rsidR="009319C2" w:rsidRPr="006C51DE">
        <w:t>ой</w:t>
      </w:r>
      <w:r w:rsidRPr="006C51DE">
        <w:t xml:space="preserve"> программ</w:t>
      </w:r>
      <w:r w:rsidR="009319C2" w:rsidRPr="006C51DE">
        <w:t>ы</w:t>
      </w:r>
      <w:r w:rsidRPr="006C51DE">
        <w:t>, подпрограмм и основных мероприятий;</w:t>
      </w:r>
    </w:p>
    <w:p w:rsidR="0031148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C51DE">
        <w:t xml:space="preserve">и направляют свои замечания </w:t>
      </w:r>
      <w:r w:rsidR="006C51DE" w:rsidRPr="006C51DE">
        <w:t>в адрес департамента</w:t>
      </w:r>
      <w:r w:rsidR="006C51DE">
        <w:t xml:space="preserve"> городского хозяйства</w:t>
      </w:r>
      <w:r>
        <w:t>.</w:t>
      </w:r>
    </w:p>
    <w:p w:rsidR="0031148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>
        <w:t>Днем получения предварительн</w:t>
      </w:r>
      <w:r w:rsidR="006C51DE">
        <w:t>ого</w:t>
      </w:r>
      <w:r>
        <w:t xml:space="preserve"> отчет</w:t>
      </w:r>
      <w:r w:rsidR="006C51DE">
        <w:t>а</w:t>
      </w:r>
      <w:r>
        <w:t xml:space="preserve"> считается день </w:t>
      </w:r>
      <w:r w:rsidR="006C51DE">
        <w:t>его</w:t>
      </w:r>
      <w:r>
        <w:t xml:space="preserve"> регистрации в управлении экономического развития и департаменте финансов соответственно.</w:t>
      </w:r>
    </w:p>
    <w:p w:rsidR="0031148A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>
        <w:t>Департамент городского хозяйства устраняе</w:t>
      </w:r>
      <w:r w:rsidR="0031148A">
        <w:t>т замечания управления экономического развития и департамента финансов, утвержда</w:t>
      </w:r>
      <w:r>
        <w:t>е</w:t>
      </w:r>
      <w:r w:rsidR="0031148A">
        <w:t>т итоговы</w:t>
      </w:r>
      <w:r>
        <w:t>й</w:t>
      </w:r>
      <w:r w:rsidR="0031148A">
        <w:t xml:space="preserve"> отчет </w:t>
      </w:r>
      <w:r>
        <w:t>приказом департамента городского хозяйства</w:t>
      </w:r>
      <w:r w:rsidR="0031148A">
        <w:t xml:space="preserve"> и представля</w:t>
      </w:r>
      <w:r>
        <w:t>е</w:t>
      </w:r>
      <w:r w:rsidR="0031148A">
        <w:t xml:space="preserve">т в управление экономического развития, департамент финансов и в Счетную палату Города Томска в срок до 10 марта года, следующего </w:t>
      </w:r>
      <w:proofErr w:type="gramStart"/>
      <w:r w:rsidR="0031148A">
        <w:t>за</w:t>
      </w:r>
      <w:proofErr w:type="gramEnd"/>
      <w:r w:rsidR="0031148A">
        <w:t xml:space="preserve"> отчетным, в бумажном, а также в электронном виде.</w:t>
      </w:r>
    </w:p>
    <w:p w:rsidR="0031148A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>
        <w:t>Департамент городского хозяйства</w:t>
      </w:r>
      <w:r w:rsidR="0031148A">
        <w:t xml:space="preserve"> нес</w:t>
      </w:r>
      <w:r>
        <w:t>е</w:t>
      </w:r>
      <w:r w:rsidR="0031148A">
        <w:t>т ответственность за качество, полноту и достоверность данных в предоставленных отчетах.</w:t>
      </w:r>
    </w:p>
    <w:p w:rsidR="00650414" w:rsidRPr="00974F19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74F19">
        <w:t>Фактическое значение показателя «Доля инженерных сетей, нуждающихся в замене» цели программы «содержание и развитие инженерной инфраструктуры» за истекший год формируется Территориальным органом Федеральной службы государственной статистики по Томской области (</w:t>
      </w:r>
      <w:proofErr w:type="spellStart"/>
      <w:r w:rsidRPr="00974F19">
        <w:t>Томскстат</w:t>
      </w:r>
      <w:proofErr w:type="spellEnd"/>
      <w:r w:rsidRPr="00974F19">
        <w:t xml:space="preserve">) на основании данных формы государственного статистического наблюдения №1-МО «Сведения об объектах инфраструктуры муниципального образования» в срок до 1 июня года, следующего за отчетным в соответствии с </w:t>
      </w:r>
      <w:r w:rsidR="003A58CB">
        <w:t>п</w:t>
      </w:r>
      <w:r w:rsidR="003A58CB" w:rsidRPr="003A58CB">
        <w:t>риказ</w:t>
      </w:r>
      <w:r w:rsidR="003A58CB">
        <w:t>ом</w:t>
      </w:r>
      <w:r w:rsidR="003A58CB" w:rsidRPr="003A58CB">
        <w:t xml:space="preserve"> Росстата от 27.12.2017</w:t>
      </w:r>
      <w:proofErr w:type="gramEnd"/>
      <w:r w:rsidR="003A58CB" w:rsidRPr="003A58CB">
        <w:t xml:space="preserve"> </w:t>
      </w:r>
      <w:r w:rsidR="003A58CB">
        <w:t>№</w:t>
      </w:r>
      <w:r w:rsidR="003A58CB" w:rsidRPr="003A58CB">
        <w:t xml:space="preserve"> 878 </w:t>
      </w:r>
      <w:r w:rsidR="003A58CB">
        <w:t>«</w:t>
      </w:r>
      <w:r w:rsidR="003A58CB" w:rsidRPr="003A58CB">
        <w:t>Об утверждении статистического инструментария для организации федерального статистического наблюдения за состоянием экономики и социальной сферы муниципального образования</w:t>
      </w:r>
      <w:r w:rsidR="003A58CB">
        <w:t>»</w:t>
      </w:r>
      <w:r w:rsidRPr="00974F19">
        <w:t xml:space="preserve">. </w:t>
      </w:r>
    </w:p>
    <w:p w:rsidR="00650414" w:rsidRPr="00974F19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74F19">
        <w:t xml:space="preserve">В соответствии с п. 7.8 порядка принятия решений о разработке муниципальных программ </w:t>
      </w:r>
      <w:r w:rsidR="00B104F5">
        <w:t>муниципального образования</w:t>
      </w:r>
      <w:r w:rsidRPr="00974F19">
        <w:t xml:space="preserve"> «Город Томск», их формирования, реализации, </w:t>
      </w:r>
      <w:r w:rsidR="00C70913">
        <w:t xml:space="preserve">корректировки, </w:t>
      </w:r>
      <w:r w:rsidRPr="00974F19">
        <w:t>мониторинга и контроля, утвержденного постановлением администрации Города Томска от 15.07.2014 № 677</w:t>
      </w:r>
      <w:r>
        <w:t xml:space="preserve"> </w:t>
      </w:r>
      <w:r w:rsidR="00D55B9D">
        <w:t>«</w:t>
      </w:r>
      <w:r w:rsidR="00D55B9D" w:rsidRPr="00D55B9D">
        <w:t>Об утверждении Порядка принятия решений о разработке муниципальных прогр</w:t>
      </w:r>
      <w:r w:rsidR="00D55B9D">
        <w:t>амм муниципального образования «</w:t>
      </w:r>
      <w:r w:rsidR="00D55B9D" w:rsidRPr="00D55B9D">
        <w:t>Город Томск</w:t>
      </w:r>
      <w:r w:rsidR="00D55B9D">
        <w:t>»</w:t>
      </w:r>
      <w:r w:rsidR="00D55B9D" w:rsidRPr="00D55B9D">
        <w:t>, их формирования, реализации, коррек</w:t>
      </w:r>
      <w:r w:rsidR="00D55B9D">
        <w:t>тировки, мониторинга и контроля</w:t>
      </w:r>
      <w:r>
        <w:t>»</w:t>
      </w:r>
      <w:r w:rsidRPr="00974F19">
        <w:t xml:space="preserve">, </w:t>
      </w:r>
      <w:r w:rsidR="00DD0580" w:rsidRPr="00DD0580">
        <w:t>Управление экономического развития проводит оценку эффективности реализации муниципальных программ</w:t>
      </w:r>
      <w:proofErr w:type="gramEnd"/>
      <w:r w:rsidR="00DD0580" w:rsidRPr="00DD0580">
        <w:t xml:space="preserve"> в соответствии с порядком, утвержденным муниципальным правовым актом администрации Города Томска.</w:t>
      </w:r>
    </w:p>
    <w:p w:rsidR="00650414" w:rsidRPr="00974F19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74F19">
        <w:t>При оценке эффективности реализации муниципальной программы управлением экономического развития показатель «Доля инженерных сетей, нуждающихся в замене» не учитывается.</w:t>
      </w:r>
    </w:p>
    <w:p w:rsidR="00650414" w:rsidRPr="00974F19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74F19">
        <w:t xml:space="preserve">После формирования официальных данных по показателю «Доля инженерных сетей, нуждающихся в замене» </w:t>
      </w:r>
      <w:proofErr w:type="spellStart"/>
      <w:r w:rsidRPr="00974F19">
        <w:t>Томскстатом</w:t>
      </w:r>
      <w:proofErr w:type="spellEnd"/>
      <w:r w:rsidRPr="00974F19">
        <w:t xml:space="preserve">, в срок до 01 июля года, следующего за </w:t>
      </w:r>
      <w:proofErr w:type="gramStart"/>
      <w:r w:rsidRPr="00974F19">
        <w:t>отчетным</w:t>
      </w:r>
      <w:proofErr w:type="gramEnd"/>
      <w:r w:rsidRPr="00974F19">
        <w:t xml:space="preserve"> департамент городского хозяйства направляет в управление экономического развития данные по показателю «Доля инженерных сетей, нуждающихся в замене».</w:t>
      </w:r>
    </w:p>
    <w:p w:rsidR="00650414" w:rsidRPr="00974F19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74F19">
        <w:t>При внесении изменений в подпрограммы, затрагивающие содержание программы в целом, ответственный исполнитель подпрограммы формирует проект внесения изменений в программу и подпрограммы.</w:t>
      </w:r>
    </w:p>
    <w:p w:rsidR="00650414" w:rsidRDefault="00650414" w:rsidP="00650414">
      <w:pPr>
        <w:suppressAutoHyphens/>
        <w:adjustRightInd w:val="0"/>
        <w:ind w:firstLine="851"/>
        <w:jc w:val="both"/>
      </w:pPr>
      <w:r w:rsidRPr="00974F19">
        <w:t>Реализация Программы освещается в средствах массовой информации.</w:t>
      </w:r>
    </w:p>
    <w:p w:rsidR="002A6D7F" w:rsidRDefault="002A6D7F" w:rsidP="002A6D7F">
      <w:pPr>
        <w:ind w:left="720"/>
        <w:jc w:val="center"/>
        <w:rPr>
          <w:b/>
          <w:color w:val="000000"/>
        </w:rPr>
      </w:pPr>
    </w:p>
    <w:p w:rsidR="002A6D7F" w:rsidRPr="002A6D7F" w:rsidRDefault="002A6D7F" w:rsidP="002A6D7F">
      <w:pPr>
        <w:ind w:left="720"/>
        <w:jc w:val="center"/>
        <w:rPr>
          <w:b/>
          <w:color w:val="000000"/>
        </w:rPr>
      </w:pPr>
      <w:r>
        <w:rPr>
          <w:b/>
          <w:color w:val="000000"/>
        </w:rPr>
        <w:t>К</w:t>
      </w:r>
      <w:r w:rsidRPr="002A6D7F">
        <w:rPr>
          <w:b/>
          <w:color w:val="000000"/>
        </w:rPr>
        <w:t xml:space="preserve">ритерии </w:t>
      </w:r>
      <w:proofErr w:type="gramStart"/>
      <w:r w:rsidRPr="002A6D7F">
        <w:rPr>
          <w:b/>
          <w:color w:val="000000"/>
        </w:rPr>
        <w:t>определения очерёдности финансирования мероприятий программы</w:t>
      </w:r>
      <w:proofErr w:type="gramEnd"/>
      <w:r w:rsidRPr="002A6D7F">
        <w:rPr>
          <w:b/>
          <w:color w:val="000000"/>
        </w:rPr>
        <w:t>:</w:t>
      </w:r>
    </w:p>
    <w:p w:rsidR="002A6D7F" w:rsidRPr="008431B0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lastRenderedPageBreak/>
        <w:t xml:space="preserve">1. Исполнения решений судов в части организации на территории МО «Город Томск» </w:t>
      </w:r>
      <w:proofErr w:type="spellStart"/>
      <w:r>
        <w:rPr>
          <w:color w:val="000000"/>
        </w:rPr>
        <w:t>электро</w:t>
      </w:r>
      <w:proofErr w:type="spellEnd"/>
      <w:r>
        <w:rPr>
          <w:color w:val="000000"/>
        </w:rPr>
        <w:t>-, тепл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газо</w:t>
      </w:r>
      <w:proofErr w:type="spellEnd"/>
      <w:r>
        <w:rPr>
          <w:color w:val="000000"/>
        </w:rPr>
        <w:t>-, водоснабжения  и водоотведения.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2. Обеспечение развития инженерной инфраструктуры на территории </w:t>
      </w:r>
      <w:r w:rsidRPr="00791778">
        <w:rPr>
          <w:color w:val="000000"/>
        </w:rPr>
        <w:t xml:space="preserve">с выделенными земельными участками льготным категориям граждан в соответствии с </w:t>
      </w:r>
      <w:r w:rsidR="003A58CB">
        <w:rPr>
          <w:rFonts w:eastAsiaTheme="minorHAnsi"/>
          <w:color w:val="000000"/>
          <w:lang w:eastAsia="en-US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>
        <w:rPr>
          <w:color w:val="000000"/>
        </w:rPr>
        <w:t>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>3. Мероприятия по организации тепло-, водоснабжения и водоотведения абонентов, подключенных к централизованным системам тепло-, водоснабжения и водоотведения, планируемым к выводу из эксплуатации.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>4. Количество подключаемых абонентов.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5. Обеспечение развития инженерной инфраструктуры на территориях с отсутствующим централизованными системами </w:t>
      </w:r>
      <w:proofErr w:type="spellStart"/>
      <w:r>
        <w:rPr>
          <w:color w:val="000000"/>
        </w:rPr>
        <w:t>электро</w:t>
      </w:r>
      <w:proofErr w:type="spellEnd"/>
      <w:r>
        <w:rPr>
          <w:color w:val="000000"/>
        </w:rPr>
        <w:t>-, тепл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газо</w:t>
      </w:r>
      <w:proofErr w:type="spellEnd"/>
      <w:r>
        <w:rPr>
          <w:color w:val="000000"/>
        </w:rPr>
        <w:t>-, водоснабжения  и водоотведения.</w:t>
      </w:r>
    </w:p>
    <w:p w:rsidR="002A6D7F" w:rsidRPr="00974F19" w:rsidRDefault="002A6D7F" w:rsidP="00650414">
      <w:pPr>
        <w:suppressAutoHyphens/>
        <w:adjustRightInd w:val="0"/>
        <w:ind w:firstLine="851"/>
        <w:jc w:val="both"/>
      </w:pPr>
    </w:p>
    <w:p w:rsidR="00650414" w:rsidRPr="002A6D7F" w:rsidRDefault="00650414" w:rsidP="00650414">
      <w:pPr>
        <w:numPr>
          <w:ilvl w:val="0"/>
          <w:numId w:val="1"/>
        </w:numPr>
        <w:jc w:val="center"/>
      </w:pPr>
      <w:r w:rsidRPr="00974F19">
        <w:t>ПОДПРОГРАММЫ.</w:t>
      </w:r>
    </w:p>
    <w:p w:rsidR="00650414" w:rsidRPr="002A6D7F" w:rsidRDefault="00650414" w:rsidP="00650414">
      <w:pPr>
        <w:tabs>
          <w:tab w:val="left" w:pos="1134"/>
        </w:tabs>
        <w:ind w:left="1800"/>
      </w:pPr>
    </w:p>
    <w:p w:rsidR="00650414" w:rsidRPr="00974F19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proofErr w:type="gramStart"/>
      <w:r w:rsidRPr="00974F19">
        <w:t>Подпрограмма</w:t>
      </w:r>
      <w:r w:rsidRPr="00974F19">
        <w:rPr>
          <w:b/>
        </w:rPr>
        <w:t xml:space="preserve"> «Содержание инженерной инфраструктуры»</w:t>
      </w:r>
      <w:r w:rsidRPr="00974F19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</w:t>
      </w:r>
      <w:proofErr w:type="spellStart"/>
      <w:r w:rsidRPr="00974F19">
        <w:t>ресурсоснабжающим</w:t>
      </w:r>
      <w:proofErr w:type="spellEnd"/>
      <w:r w:rsidRPr="00974F19">
        <w:t xml:space="preserve"> организациям.</w:t>
      </w:r>
      <w:proofErr w:type="gramEnd"/>
      <w:r w:rsidRPr="00974F19">
        <w:t xml:space="preserve"> Мероприятиями программы предусматривается выделение денежных средств на актуализацию схемы теплоснабжения, паспортизацию бесхозяйных объектов инженерно-технического обеспечения МО «Город Томск» и подготовку инженерной инфраструктуры к работе в отопительный период.</w:t>
      </w:r>
    </w:p>
    <w:p w:rsidR="00650414" w:rsidRPr="00974F19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74F19">
        <w:t>Подпрограмм</w:t>
      </w:r>
      <w:r w:rsidRPr="00974F19">
        <w:rPr>
          <w:b/>
        </w:rPr>
        <w:t>а «Организация и обеспечение эффективного исполнения функций»</w:t>
      </w:r>
      <w:r w:rsidRPr="00974F19">
        <w:t xml:space="preserve"> по содержанию представляет собой смету затрат, необходимых для создания условий и обеспечения нормального функционирования подразделений департамента городского хозяйства. </w:t>
      </w:r>
    </w:p>
    <w:p w:rsidR="00650414" w:rsidRPr="00974F19" w:rsidRDefault="00650414" w:rsidP="00650414">
      <w:pPr>
        <w:tabs>
          <w:tab w:val="left" w:pos="-142"/>
          <w:tab w:val="left" w:pos="1134"/>
        </w:tabs>
        <w:ind w:firstLine="851"/>
        <w:jc w:val="both"/>
      </w:pPr>
      <w:r w:rsidRPr="00974F19">
        <w:t xml:space="preserve">Мероприятиями подпрограммы предусмотрен капитальный ремонт актового зала на 3 этаже здания по ул. Московский тракт, 19/1 с целью его дальнейшего использования для проведения собраний и заседаний с большим количеством участников (в настоящее время администрация Города Томска местом для проведения подобных собраний не располагает). </w:t>
      </w:r>
    </w:p>
    <w:p w:rsidR="00650414" w:rsidRPr="00974F19" w:rsidRDefault="00650414" w:rsidP="00650414">
      <w:pPr>
        <w:tabs>
          <w:tab w:val="left" w:pos="1134"/>
        </w:tabs>
        <w:ind w:firstLine="857"/>
        <w:jc w:val="both"/>
      </w:pPr>
      <w:r w:rsidRPr="00974F19">
        <w:t>3.</w:t>
      </w:r>
      <w:r w:rsidRPr="00974F19">
        <w:tab/>
        <w:t>Подпрограмма</w:t>
      </w:r>
      <w:r w:rsidRPr="00974F19">
        <w:rPr>
          <w:b/>
        </w:rPr>
        <w:t xml:space="preserve"> «Развитие инженерной инфраструктуры»</w:t>
      </w:r>
      <w:r w:rsidRPr="00974F19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города к сетям централизованного тепло- и электроснабжения. </w:t>
      </w:r>
    </w:p>
    <w:p w:rsidR="00650414" w:rsidRPr="00974F19" w:rsidRDefault="00650414" w:rsidP="00650414">
      <w:pPr>
        <w:ind w:firstLine="851"/>
        <w:jc w:val="both"/>
      </w:pPr>
      <w:r w:rsidRPr="00974F19">
        <w:t xml:space="preserve">4. Целью подпрограммы </w:t>
      </w:r>
      <w:r w:rsidRPr="00974F19">
        <w:rPr>
          <w:b/>
        </w:rPr>
        <w:t>«Газификация Томска»</w:t>
      </w:r>
      <w:r w:rsidRPr="00974F19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Default="00650414" w:rsidP="00D55B9D">
      <w:pPr>
        <w:ind w:firstLine="851"/>
        <w:jc w:val="both"/>
      </w:pPr>
      <w:r w:rsidRPr="00974F19">
        <w:t xml:space="preserve">5. Подпрограмма </w:t>
      </w:r>
      <w:r w:rsidRPr="00974F19">
        <w:rPr>
          <w:b/>
        </w:rPr>
        <w:t>«Инженерная защита территорий»</w:t>
      </w:r>
      <w:r w:rsidRPr="00974F19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4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14"/>
    <w:rsid w:val="00037CBC"/>
    <w:rsid w:val="00155D64"/>
    <w:rsid w:val="002A6D7F"/>
    <w:rsid w:val="002E1D9B"/>
    <w:rsid w:val="0031148A"/>
    <w:rsid w:val="00342CDE"/>
    <w:rsid w:val="00351B38"/>
    <w:rsid w:val="003564C0"/>
    <w:rsid w:val="003A58CB"/>
    <w:rsid w:val="0041172F"/>
    <w:rsid w:val="00461B86"/>
    <w:rsid w:val="004A71E3"/>
    <w:rsid w:val="005F59A5"/>
    <w:rsid w:val="00650414"/>
    <w:rsid w:val="006C51DE"/>
    <w:rsid w:val="006E28E3"/>
    <w:rsid w:val="0072033C"/>
    <w:rsid w:val="008E259D"/>
    <w:rsid w:val="008E70AA"/>
    <w:rsid w:val="009319C2"/>
    <w:rsid w:val="009B64D1"/>
    <w:rsid w:val="009E2FD3"/>
    <w:rsid w:val="00B104F5"/>
    <w:rsid w:val="00B634E9"/>
    <w:rsid w:val="00C27E28"/>
    <w:rsid w:val="00C70913"/>
    <w:rsid w:val="00D27F2C"/>
    <w:rsid w:val="00D55B9D"/>
    <w:rsid w:val="00D7467F"/>
    <w:rsid w:val="00D74F6A"/>
    <w:rsid w:val="00DC0602"/>
    <w:rsid w:val="00DD0580"/>
    <w:rsid w:val="00E52557"/>
    <w:rsid w:val="00ED34FB"/>
    <w:rsid w:val="00FE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indukaev</cp:lastModifiedBy>
  <cp:revision>16</cp:revision>
  <dcterms:created xsi:type="dcterms:W3CDTF">2017-07-11T02:08:00Z</dcterms:created>
  <dcterms:modified xsi:type="dcterms:W3CDTF">2018-03-22T01:55:00Z</dcterms:modified>
</cp:coreProperties>
</file>