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3B421C" w:rsidRDefault="002924FC" w:rsidP="002924FC">
      <w:pPr>
        <w:jc w:val="center"/>
        <w:rPr>
          <w:caps/>
        </w:rPr>
      </w:pPr>
      <w:r w:rsidRPr="003B421C">
        <w:rPr>
          <w:caps/>
          <w:lang w:val="en-US"/>
        </w:rPr>
        <w:t>II</w:t>
      </w:r>
      <w:r w:rsidRPr="003B421C">
        <w:rPr>
          <w:caps/>
        </w:rPr>
        <w:t>. Анализ текущей ситуации</w:t>
      </w:r>
    </w:p>
    <w:p w:rsidR="002924FC" w:rsidRPr="003B421C" w:rsidRDefault="002924FC" w:rsidP="002924FC">
      <w:pPr>
        <w:jc w:val="center"/>
        <w:rPr>
          <w:b/>
          <w:sz w:val="28"/>
        </w:rPr>
      </w:pPr>
    </w:p>
    <w:p w:rsidR="002924FC" w:rsidRPr="003B421C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3B421C">
        <w:rPr>
          <w:b/>
          <w:bCs/>
        </w:rPr>
        <w:t xml:space="preserve">  Защита территории от затопления.</w:t>
      </w:r>
      <w:bookmarkEnd w:id="0"/>
    </w:p>
    <w:p w:rsidR="00392827" w:rsidRPr="003B421C" w:rsidRDefault="00392827" w:rsidP="002924FC">
      <w:pPr>
        <w:spacing w:before="40" w:after="40"/>
        <w:ind w:firstLine="709"/>
        <w:jc w:val="both"/>
      </w:pPr>
    </w:p>
    <w:p w:rsidR="00392827" w:rsidRPr="003B421C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3B421C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392827" w:rsidRPr="003B421C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3B421C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2030 год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421C">
              <w:rPr>
                <w:lang w:eastAsia="en-US"/>
              </w:rPr>
              <w:t xml:space="preserve">Численность </w:t>
            </w:r>
            <w:r w:rsidRPr="003B421C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723,1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</w:tr>
    </w:tbl>
    <w:p w:rsidR="00392827" w:rsidRPr="003B421C" w:rsidRDefault="00392827" w:rsidP="00392827">
      <w:pPr>
        <w:pStyle w:val="a3"/>
        <w:tabs>
          <w:tab w:val="left" w:pos="0"/>
        </w:tabs>
      </w:pPr>
    </w:p>
    <w:p w:rsidR="00392827" w:rsidRPr="003B421C" w:rsidRDefault="00392827" w:rsidP="00392827">
      <w:pPr>
        <w:spacing w:before="40" w:after="40"/>
        <w:ind w:firstLine="709"/>
        <w:jc w:val="both"/>
      </w:pPr>
      <w:r w:rsidRPr="003B421C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3B421C">
        <w:t>.</w:t>
      </w:r>
      <w:proofErr w:type="gramEnd"/>
      <w:r w:rsidRPr="003B421C">
        <w:t xml:space="preserve"> </w:t>
      </w:r>
      <w:proofErr w:type="gramStart"/>
      <w:r w:rsidRPr="003B421C">
        <w:t>и</w:t>
      </w:r>
      <w:proofErr w:type="gramEnd"/>
      <w:r w:rsidRPr="003B421C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3B421C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24FC" w:rsidRPr="003B421C" w:rsidRDefault="002924FC" w:rsidP="002924FC">
      <w:pPr>
        <w:spacing w:before="40" w:after="40"/>
        <w:ind w:firstLine="709"/>
        <w:jc w:val="both"/>
      </w:pPr>
      <w:r w:rsidRPr="003B421C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3B421C">
        <w:t>Ушайка</w:t>
      </w:r>
      <w:proofErr w:type="spellEnd"/>
      <w:r w:rsidRPr="003B421C">
        <w:t>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Река Томь берет начало в горном массиве на стыке Кузнецкого Алатау и Абакан</w:t>
      </w:r>
      <w:r w:rsidRPr="003B421C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3B421C">
        <w:rPr>
          <w:rStyle w:val="FontStyle17"/>
        </w:rPr>
        <w:t>Шории</w:t>
      </w:r>
      <w:proofErr w:type="spellEnd"/>
      <w:r w:rsidRPr="003B421C">
        <w:rPr>
          <w:rStyle w:val="FontStyle17"/>
        </w:rPr>
        <w:t>, цен</w:t>
      </w:r>
      <w:r w:rsidRPr="003B421C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3B421C">
        <w:rPr>
          <w:rStyle w:val="FontStyle17"/>
        </w:rPr>
        <w:t>Западно-Сибирской</w:t>
      </w:r>
      <w:proofErr w:type="spellEnd"/>
      <w:r w:rsidRPr="003B421C">
        <w:rPr>
          <w:rStyle w:val="FontStyle17"/>
        </w:rPr>
        <w:t xml:space="preserve"> равнины.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3B421C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3B421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3B421C">
        <w:rPr>
          <w:rStyle w:val="FontStyle17"/>
        </w:rPr>
        <w:t>Томск расположен на правом берегу реки, в 70 км выше ее впадения в р. Обь. Зна</w:t>
      </w:r>
      <w:r w:rsidRPr="003B421C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3B421C">
        <w:rPr>
          <w:rStyle w:val="FontStyle17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3B421C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3B421C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3B421C">
        <w:rPr>
          <w:rStyle w:val="FontStyle17"/>
        </w:rPr>
        <w:t>Продолжительность подъема уровней составляет около 30 дней. Окончание поло</w:t>
      </w:r>
      <w:r w:rsidRPr="003B421C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3B421C">
        <w:rPr>
          <w:rStyle w:val="FontStyle17"/>
        </w:rPr>
        <w:softHyphen/>
        <w:t xml:space="preserve">ставляет 60-80 </w:t>
      </w:r>
      <w:r w:rsidRPr="003B421C">
        <w:rPr>
          <w:rStyle w:val="FontStyle17"/>
        </w:rPr>
        <w:lastRenderedPageBreak/>
        <w:t>дней. После прохождения половодья устанавливается летне-осенняя ме</w:t>
      </w:r>
      <w:r w:rsidRPr="003B421C">
        <w:rPr>
          <w:rStyle w:val="FontStyle17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3B421C">
        <w:rPr>
          <w:rStyle w:val="FontStyle19"/>
        </w:rPr>
        <w:t>Уровенный</w:t>
      </w:r>
      <w:proofErr w:type="spellEnd"/>
      <w:r w:rsidRPr="003B421C">
        <w:rPr>
          <w:rStyle w:val="FontStyle19"/>
        </w:rPr>
        <w:t xml:space="preserve"> режим. </w:t>
      </w:r>
      <w:r w:rsidRPr="003B421C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3B421C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3B421C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3B421C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Река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берет начало на </w:t>
      </w:r>
      <w:proofErr w:type="spellStart"/>
      <w:r w:rsidRPr="003B421C">
        <w:rPr>
          <w:rStyle w:val="FontStyle14"/>
        </w:rPr>
        <w:t>Томь-Яйском</w:t>
      </w:r>
      <w:proofErr w:type="spellEnd"/>
      <w:r w:rsidRPr="003B421C">
        <w:rPr>
          <w:rStyle w:val="FontStyle14"/>
        </w:rPr>
        <w:t xml:space="preserve"> междуречье на высоте 242 м в 10 км к востоку </w:t>
      </w:r>
      <w:proofErr w:type="gramStart"/>
      <w:r w:rsidRPr="003B421C">
        <w:rPr>
          <w:rStyle w:val="FontStyle14"/>
        </w:rPr>
        <w:t>от</w:t>
      </w:r>
      <w:proofErr w:type="gramEnd"/>
      <w:r w:rsidRPr="003B421C">
        <w:rPr>
          <w:rStyle w:val="FontStyle14"/>
        </w:rPr>
        <w:t xml:space="preserve"> с. </w:t>
      </w:r>
      <w:proofErr w:type="spellStart"/>
      <w:r w:rsidRPr="003B421C">
        <w:rPr>
          <w:rStyle w:val="FontStyle14"/>
        </w:rPr>
        <w:t>Межениновка</w:t>
      </w:r>
      <w:proofErr w:type="spellEnd"/>
      <w:r w:rsidRPr="003B421C">
        <w:rPr>
          <w:rStyle w:val="FontStyle1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шайки</w:t>
      </w:r>
      <w:proofErr w:type="spellEnd"/>
      <w:r w:rsidRPr="003B421C">
        <w:rPr>
          <w:rStyle w:val="FontStyle14"/>
        </w:rPr>
        <w:t xml:space="preserve"> со</w:t>
      </w:r>
      <w:r w:rsidRPr="003B421C">
        <w:rPr>
          <w:rStyle w:val="FontStyle14"/>
        </w:rPr>
        <w:softHyphen/>
        <w:t>ставляет 78 км, площадь водосбора - 744 км2.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В районе пос. Степановки долина реки шириной до 200 м пойменная, </w:t>
      </w:r>
      <w:proofErr w:type="spellStart"/>
      <w:r w:rsidRPr="003B421C">
        <w:rPr>
          <w:rStyle w:val="FontStyle14"/>
        </w:rPr>
        <w:t>ящикообразная</w:t>
      </w:r>
      <w:proofErr w:type="spellEnd"/>
      <w:r w:rsidRPr="003B421C">
        <w:rPr>
          <w:rStyle w:val="FontStyle14"/>
        </w:rPr>
        <w:t xml:space="preserve">                          с высокими (до 10-30 м от подошвы) крутыми склонами, осо</w:t>
      </w:r>
      <w:r w:rsidRPr="003B421C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Русло однорукавное, устойчивое, слабоизвилистое. В районе ул. Короленко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образует излучину. В русле имеется заросший таль</w:t>
      </w:r>
      <w:r w:rsidRPr="003B421C">
        <w:rPr>
          <w:rStyle w:val="FontStyle14"/>
        </w:rPr>
        <w:softHyphen/>
        <w:t>ником остров, который в половодье затапливается.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3B421C">
        <w:rPr>
          <w:rStyle w:val="FontStyle14"/>
        </w:rPr>
        <w:t>с</w:t>
      </w:r>
      <w:proofErr w:type="gramEnd"/>
      <w:r w:rsidRPr="003B421C">
        <w:rPr>
          <w:rStyle w:val="FontStyle14"/>
        </w:rPr>
        <w:t>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По характеру водного режима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относится к рекам с весенним половодьем                          и паводками в теплое время.</w:t>
      </w:r>
    </w:p>
    <w:p w:rsidR="002924FC" w:rsidRPr="003B421C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Начало половодья приходится на первую-вторую декады апреля. Его про</w:t>
      </w:r>
      <w:r w:rsidRPr="003B421C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3B421C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на 5-8 (иногда на 10-12) дней раньше Томи. Самый ранний срок в</w:t>
      </w:r>
      <w:r w:rsidR="003C62D2" w:rsidRPr="003B421C">
        <w:rPr>
          <w:rStyle w:val="FontStyle14"/>
        </w:rPr>
        <w:t>скрытия наблюдался 1 апреля, са</w:t>
      </w:r>
      <w:r w:rsidRPr="003B421C">
        <w:rPr>
          <w:rStyle w:val="FontStyle14"/>
        </w:rPr>
        <w:t xml:space="preserve">мый поздний </w:t>
      </w:r>
      <w:r w:rsidRPr="003B421C">
        <w:rPr>
          <w:rStyle w:val="FontStyle14"/>
          <w:spacing w:val="30"/>
        </w:rPr>
        <w:t>-18</w:t>
      </w:r>
      <w:r w:rsidRPr="003B421C">
        <w:rPr>
          <w:rStyle w:val="FontStyle14"/>
        </w:rPr>
        <w:t xml:space="preserve"> мая.</w:t>
      </w:r>
    </w:p>
    <w:p w:rsidR="002924FC" w:rsidRPr="003B421C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3B421C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3B421C">
        <w:rPr>
          <w:rStyle w:val="FontStyle1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3B421C">
        <w:rPr>
          <w:rStyle w:val="FontStyle14"/>
        </w:rPr>
        <w:softHyphen/>
        <w:t>бания уровней воды за год составляет 200-250 см.</w:t>
      </w:r>
    </w:p>
    <w:p w:rsidR="002924FC" w:rsidRPr="003B421C" w:rsidRDefault="002924FC" w:rsidP="002924FC">
      <w:pPr>
        <w:ind w:firstLine="709"/>
        <w:jc w:val="both"/>
        <w:rPr>
          <w:b/>
        </w:rPr>
      </w:pPr>
      <w:r w:rsidRPr="003B421C">
        <w:rPr>
          <w:b/>
        </w:rPr>
        <w:t xml:space="preserve">Основными целями Подпрограммы являются: </w:t>
      </w:r>
    </w:p>
    <w:p w:rsidR="002924FC" w:rsidRPr="003B421C" w:rsidRDefault="002924FC" w:rsidP="002924FC">
      <w:pPr>
        <w:ind w:firstLine="709"/>
        <w:jc w:val="both"/>
      </w:pPr>
      <w:r w:rsidRPr="003B421C">
        <w:t>обеспечение защищенности населения и объектов экономики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3B421C" w:rsidRDefault="002924FC" w:rsidP="002924FC">
      <w:pPr>
        <w:ind w:firstLine="709"/>
        <w:jc w:val="both"/>
      </w:pPr>
      <w:r w:rsidRPr="003B421C">
        <w:t>Для достижения поставленных целей должны быть решены следующие задачи:</w:t>
      </w:r>
    </w:p>
    <w:p w:rsidR="002924FC" w:rsidRPr="003B421C" w:rsidRDefault="002924FC" w:rsidP="002924FC">
      <w:pPr>
        <w:numPr>
          <w:ilvl w:val="0"/>
          <w:numId w:val="2"/>
        </w:numPr>
        <w:jc w:val="both"/>
      </w:pPr>
      <w:r w:rsidRPr="003B421C">
        <w:t xml:space="preserve">Строительство сооружений инженерной защиты. </w:t>
      </w:r>
    </w:p>
    <w:p w:rsidR="002924FC" w:rsidRPr="003B421C" w:rsidRDefault="002924FC" w:rsidP="002924FC">
      <w:pPr>
        <w:ind w:firstLine="709"/>
        <w:jc w:val="both"/>
      </w:pPr>
      <w:r w:rsidRPr="003B421C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2) Повышение эксплуатационной надежности ГТС, путем их приведения к безопасному техническому состоянию.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Решение данной задачи позволит обеспечить безопасную эксплуатацию ГТС, </w:t>
      </w:r>
      <w:proofErr w:type="gramStart"/>
      <w:r w:rsidRPr="003B421C">
        <w:t>расположенных</w:t>
      </w:r>
      <w:proofErr w:type="gramEnd"/>
      <w:r w:rsidRPr="003B421C">
        <w:t xml:space="preserve"> на территории области;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Срок реализации Подпрограммы –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 годы. </w:t>
      </w:r>
    </w:p>
    <w:p w:rsidR="002924FC" w:rsidRPr="003B421C" w:rsidRDefault="002924FC" w:rsidP="002924FC">
      <w:pPr>
        <w:ind w:firstLine="770"/>
        <w:jc w:val="both"/>
        <w:rPr>
          <w:b/>
          <w:bCs/>
        </w:rPr>
      </w:pPr>
    </w:p>
    <w:p w:rsidR="002924FC" w:rsidRPr="003B421C" w:rsidRDefault="002924FC" w:rsidP="002924FC">
      <w:pPr>
        <w:ind w:firstLine="770"/>
        <w:jc w:val="both"/>
      </w:pPr>
      <w:r w:rsidRPr="003B421C">
        <w:rPr>
          <w:b/>
          <w:bCs/>
        </w:rPr>
        <w:lastRenderedPageBreak/>
        <w:t>Социально-экономическая эффективность Подпрограммы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обеспечению благоприятных экологических условий для жизни населения,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В результате выполнения Подпрограммы в целях развития водохозяйственного комплекса Томской области: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Протяженность новых сооружений инженерной защиты и </w:t>
      </w:r>
      <w:proofErr w:type="spellStart"/>
      <w:r w:rsidRPr="003B421C">
        <w:t>берегоукрепления</w:t>
      </w:r>
      <w:proofErr w:type="spellEnd"/>
      <w:r w:rsidRPr="003B421C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jc w:val="center"/>
        <w:rPr>
          <w:b/>
        </w:rPr>
      </w:pPr>
      <w:r w:rsidRPr="003B421C">
        <w:rPr>
          <w:b/>
        </w:rPr>
        <w:t>Анализ рисков реализации Подпрограммы и меры по их управлению</w:t>
      </w:r>
    </w:p>
    <w:p w:rsidR="002924FC" w:rsidRPr="003B421C" w:rsidRDefault="002924FC" w:rsidP="002924FC">
      <w:pPr>
        <w:jc w:val="both"/>
      </w:pPr>
    </w:p>
    <w:p w:rsidR="003A29D3" w:rsidRPr="003B421C" w:rsidRDefault="003A29D3" w:rsidP="003A29D3">
      <w:pPr>
        <w:ind w:firstLine="709"/>
        <w:jc w:val="both"/>
      </w:pPr>
      <w:r w:rsidRPr="003B421C">
        <w:t xml:space="preserve">Так как мероприятия подпрограммы реализуются посредством заключения муниципальных </w:t>
      </w:r>
      <w:proofErr w:type="gramStart"/>
      <w:r w:rsidRPr="003B421C">
        <w:t>контрактов</w:t>
      </w:r>
      <w:proofErr w:type="gramEnd"/>
      <w:r w:rsidRPr="003B421C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>
        <w:t xml:space="preserve"> процедур</w:t>
      </w:r>
      <w:r w:rsidRPr="003B421C">
        <w:t xml:space="preserve">, существует риск </w:t>
      </w:r>
      <w:proofErr w:type="spellStart"/>
      <w:r w:rsidRPr="003B421C">
        <w:t>недостижения</w:t>
      </w:r>
      <w:proofErr w:type="spellEnd"/>
      <w:r w:rsidRPr="003B421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 xml:space="preserve">В ходе реализации подпрограммы возможны и другие внешние риски, наступление или </w:t>
      </w:r>
      <w:proofErr w:type="spellStart"/>
      <w:r w:rsidRPr="003B421C">
        <w:t>ненаступление</w:t>
      </w:r>
      <w:proofErr w:type="spellEnd"/>
      <w:r w:rsidRPr="003B421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3B421C" w:rsidRDefault="003A29D3" w:rsidP="003A29D3">
      <w:pPr>
        <w:ind w:firstLine="709"/>
        <w:jc w:val="both"/>
      </w:pPr>
      <w:r w:rsidRPr="003B421C">
        <w:t>- возникновения дестабилизирующих общественных процессов;</w:t>
      </w:r>
    </w:p>
    <w:p w:rsidR="003A29D3" w:rsidRPr="003B421C" w:rsidRDefault="003A29D3" w:rsidP="003A29D3">
      <w:pPr>
        <w:ind w:firstLine="709"/>
        <w:jc w:val="both"/>
      </w:pPr>
      <w:r w:rsidRPr="003B421C">
        <w:t>- изменения федерального и областного законодательства о местном самоуправлении;</w:t>
      </w:r>
    </w:p>
    <w:p w:rsidR="003A29D3" w:rsidRPr="003B421C" w:rsidRDefault="003A29D3" w:rsidP="003A29D3">
      <w:pPr>
        <w:ind w:firstLine="709"/>
        <w:jc w:val="both"/>
      </w:pPr>
      <w:r w:rsidRPr="003B421C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3B421C">
        <w:rPr>
          <w:caps/>
        </w:rPr>
        <w:t>Цели, задачи, показатели подпрограммы</w:t>
      </w:r>
    </w:p>
    <w:p w:rsidR="002924FC" w:rsidRPr="003B421C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B421C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3B421C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3B421C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3B42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Расчеты </w:t>
      </w:r>
      <w:r w:rsidR="00903F73" w:rsidRPr="003B421C">
        <w:t xml:space="preserve">отдельных </w:t>
      </w:r>
      <w:r w:rsidRPr="003B421C">
        <w:t>показателей задач подпрограммы приведены в приложении 2.</w:t>
      </w:r>
    </w:p>
    <w:p w:rsidR="00903F73" w:rsidRPr="003B421C" w:rsidRDefault="00903F73" w:rsidP="002924FC">
      <w:pPr>
        <w:ind w:firstLine="77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3B421C">
        <w:rPr>
          <w:caps/>
        </w:rPr>
        <w:t>Перечень мероприятий и их экономическое обоснование</w:t>
      </w:r>
    </w:p>
    <w:p w:rsidR="002924FC" w:rsidRPr="003B421C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3B421C" w:rsidRDefault="002924FC" w:rsidP="002924FC">
      <w:pPr>
        <w:ind w:firstLine="600"/>
        <w:jc w:val="both"/>
      </w:pPr>
      <w:r w:rsidRPr="003B421C">
        <w:rPr>
          <w:bCs/>
        </w:rPr>
        <w:lastRenderedPageBreak/>
        <w:tab/>
      </w:r>
      <w:r w:rsidRPr="003B421C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3B421C" w:rsidRDefault="00203D29" w:rsidP="00203D29">
      <w:pPr>
        <w:ind w:firstLine="715"/>
        <w:jc w:val="both"/>
      </w:pPr>
      <w:r w:rsidRPr="003B421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3B421C" w:rsidRDefault="00203D29" w:rsidP="00203D29">
      <w:pPr>
        <w:ind w:firstLine="715"/>
        <w:jc w:val="both"/>
      </w:pPr>
      <w:r w:rsidRPr="003B421C">
        <w:t>Потребность в средствах определена следующим образом:</w:t>
      </w:r>
    </w:p>
    <w:p w:rsidR="00203D29" w:rsidRPr="003B421C" w:rsidRDefault="00203D29" w:rsidP="00203D29">
      <w:pPr>
        <w:ind w:firstLine="715"/>
        <w:jc w:val="both"/>
      </w:pPr>
      <w:r w:rsidRPr="003B421C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3B421C" w:rsidRDefault="00203D29" w:rsidP="00203D29">
      <w:pPr>
        <w:ind w:firstLine="715"/>
        <w:jc w:val="both"/>
      </w:pPr>
      <w:r w:rsidRPr="003B421C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3B421C" w:rsidRDefault="00203D29" w:rsidP="00203D29">
      <w:pPr>
        <w:ind w:firstLine="600"/>
        <w:jc w:val="both"/>
      </w:pPr>
      <w:r w:rsidRPr="003B421C">
        <w:rPr>
          <w:bCs/>
        </w:rPr>
        <w:t>Экономические расчеты распределения сре</w:t>
      </w:r>
      <w:proofErr w:type="gramStart"/>
      <w:r w:rsidRPr="003B421C">
        <w:rPr>
          <w:bCs/>
        </w:rPr>
        <w:t>дств пр</w:t>
      </w:r>
      <w:proofErr w:type="gramEnd"/>
      <w:r w:rsidRPr="003B421C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3B421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2924FC" w:rsidRPr="003B421C" w:rsidRDefault="002924FC" w:rsidP="002924FC">
      <w:pPr>
        <w:ind w:firstLine="600"/>
        <w:jc w:val="both"/>
      </w:pPr>
      <w:r w:rsidRPr="003B421C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3B421C" w:rsidRDefault="00891D11" w:rsidP="00891D11">
      <w:pPr>
        <w:suppressAutoHyphens/>
        <w:ind w:firstLine="540"/>
        <w:jc w:val="both"/>
      </w:pPr>
      <w:r w:rsidRPr="003B421C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3B421C">
        <w:t>ресурсоснабжающим</w:t>
      </w:r>
      <w:proofErr w:type="spellEnd"/>
      <w:r w:rsidRPr="003B421C">
        <w:t xml:space="preserve"> организациям </w:t>
      </w:r>
      <w:proofErr w:type="gramStart"/>
      <w:r w:rsidRPr="003B421C">
        <w:t>г</w:t>
      </w:r>
      <w:proofErr w:type="gramEnd"/>
      <w:r w:rsidRPr="003B421C">
        <w:t>. Томска.</w:t>
      </w:r>
    </w:p>
    <w:p w:rsidR="00891D11" w:rsidRPr="003B421C" w:rsidRDefault="00891D11" w:rsidP="002924FC">
      <w:pPr>
        <w:suppressAutoHyphens/>
        <w:ind w:firstLine="709"/>
        <w:jc w:val="both"/>
      </w:pPr>
    </w:p>
    <w:p w:rsidR="002924FC" w:rsidRPr="003B421C" w:rsidRDefault="002924FC" w:rsidP="002924FC">
      <w:pPr>
        <w:ind w:firstLine="60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3B421C">
        <w:rPr>
          <w:lang w:val="en-US"/>
        </w:rPr>
        <w:t>V</w:t>
      </w:r>
      <w:r w:rsidRPr="003B421C">
        <w:rPr>
          <w:b/>
        </w:rPr>
        <w:t xml:space="preserve">. </w:t>
      </w:r>
      <w:r w:rsidRPr="003B421C">
        <w:rPr>
          <w:caps/>
        </w:rPr>
        <w:t>Механизмы управления и контроля</w:t>
      </w:r>
    </w:p>
    <w:p w:rsidR="002924FC" w:rsidRPr="003B421C" w:rsidRDefault="002924FC" w:rsidP="002924FC">
      <w:pPr>
        <w:jc w:val="center"/>
        <w:rPr>
          <w:b/>
        </w:rPr>
      </w:pPr>
    </w:p>
    <w:p w:rsidR="002924FC" w:rsidRPr="003B421C" w:rsidRDefault="002924FC" w:rsidP="002924FC">
      <w:pPr>
        <w:ind w:firstLine="851"/>
        <w:jc w:val="both"/>
      </w:pPr>
      <w:r w:rsidRPr="003B421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3B421C" w:rsidRDefault="002924FC" w:rsidP="002924FC">
      <w:pPr>
        <w:ind w:firstLine="851"/>
        <w:jc w:val="both"/>
        <w:rPr>
          <w:spacing w:val="-4"/>
        </w:rPr>
      </w:pPr>
      <w:r w:rsidRPr="003B421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3B421C">
        <w:rPr>
          <w:spacing w:val="-4"/>
        </w:rPr>
        <w:t xml:space="preserve"> а также федерального бюджета</w:t>
      </w:r>
      <w:r w:rsidRPr="003B421C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3B421C" w:rsidRDefault="005D0270" w:rsidP="005D0270">
      <w:pPr>
        <w:adjustRightInd w:val="0"/>
        <w:ind w:firstLine="851"/>
        <w:jc w:val="both"/>
        <w:outlineLvl w:val="1"/>
      </w:pPr>
      <w:r w:rsidRPr="003B421C">
        <w:lastRenderedPageBreak/>
        <w:t>Мониторинг и контроль хода реализации подпрограммы осуществляет департамент городского хозяйства.</w:t>
      </w:r>
    </w:p>
    <w:p w:rsidR="00404EA6" w:rsidRPr="003B421C" w:rsidRDefault="00404EA6" w:rsidP="00404EA6">
      <w:pPr>
        <w:adjustRightInd w:val="0"/>
        <w:ind w:firstLine="851"/>
        <w:jc w:val="both"/>
        <w:outlineLvl w:val="1"/>
      </w:pPr>
      <w:r w:rsidRPr="003B421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подготовки отчетов о ходе реализации подпрограммы;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из иных бюджетных источников.</w:t>
      </w:r>
    </w:p>
    <w:p w:rsidR="00C311AE" w:rsidRPr="003B421C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3B421C">
        <w:t xml:space="preserve">Привлечение средств бюджета Томской области с целью </w:t>
      </w:r>
      <w:proofErr w:type="spellStart"/>
      <w:r w:rsidRPr="003B421C">
        <w:t>софинансирования</w:t>
      </w:r>
      <w:proofErr w:type="spellEnd"/>
      <w:r w:rsidRPr="003B421C">
        <w:t xml:space="preserve"> мероприятий подпрограммы осуществляется в рамках реализации государственной программы "Воспроизводство и использование природных ресурсов Томской области" (утверждена постановлением Администрации Томской области от 02.12.2014 N 448а.</w:t>
      </w:r>
      <w:proofErr w:type="gramEnd"/>
      <w:r w:rsidRPr="003B421C">
        <w:t xml:space="preserve"> </w:t>
      </w:r>
      <w:proofErr w:type="gramStart"/>
      <w:r w:rsidRPr="003B421C">
        <w:t xml:space="preserve">Порядок и условия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2924FC" w:rsidRPr="003B421C" w:rsidRDefault="002924FC" w:rsidP="002924FC">
      <w:pPr>
        <w:ind w:firstLine="851"/>
        <w:jc w:val="both"/>
      </w:pPr>
      <w:r w:rsidRPr="003B421C">
        <w:t xml:space="preserve">Реализация подпрограммы планируется в течение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3B421C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3B421C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3B421C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3B421C">
        <w:t xml:space="preserve"> </w:t>
      </w:r>
      <w:proofErr w:type="gramStart"/>
      <w:r w:rsidRPr="003B421C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 в управление экономического развития </w:t>
      </w:r>
      <w:r w:rsidR="008D7C9A">
        <w:t xml:space="preserve">администрации Города Томска </w:t>
      </w:r>
      <w:r w:rsidRPr="003B421C">
        <w:t>и департамент финансов</w:t>
      </w:r>
      <w:r w:rsidR="008D7C9A">
        <w:t xml:space="preserve"> администрации Города Томска</w:t>
      </w:r>
      <w:r w:rsidRPr="003B421C">
        <w:t>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Управление экономического развития </w:t>
      </w:r>
      <w:r w:rsidR="008D7C9A">
        <w:t xml:space="preserve">администрации Города Томска </w:t>
      </w:r>
      <w:r w:rsidRPr="003B421C">
        <w:t xml:space="preserve">и департамент финансов </w:t>
      </w:r>
      <w:r w:rsidR="008D7C9A">
        <w:t xml:space="preserve">администрации Города Томска </w:t>
      </w:r>
      <w:r w:rsidRPr="003B421C">
        <w:t xml:space="preserve">в течение 15 рабочих дней </w:t>
      </w:r>
      <w:proofErr w:type="gramStart"/>
      <w:r w:rsidRPr="003B421C">
        <w:t xml:space="preserve">с даты </w:t>
      </w:r>
      <w:r w:rsidRPr="003B421C">
        <w:lastRenderedPageBreak/>
        <w:t>поступления</w:t>
      </w:r>
      <w:proofErr w:type="gramEnd"/>
      <w:r w:rsidRPr="003B421C">
        <w:t xml:space="preserve"> предварительного отчета проводят проверку представленных в отчете данных: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1) управление экономического развития </w:t>
      </w:r>
      <w:r w:rsidR="008D7C9A">
        <w:t xml:space="preserve">администрации Города Томска </w:t>
      </w:r>
      <w:r w:rsidRPr="003B421C">
        <w:t>на предмет: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2) департамент финансов </w:t>
      </w:r>
      <w:r w:rsidR="008D7C9A">
        <w:t xml:space="preserve">администрации Города Томска </w:t>
      </w:r>
      <w:r w:rsidRPr="003B421C">
        <w:t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и направляют свои замечания в адрес департамента городского хозяйства.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</w:t>
      </w:r>
      <w:r w:rsidR="008D7C9A">
        <w:t xml:space="preserve"> администрации Города Томска</w:t>
      </w:r>
      <w:r w:rsidRPr="003B421C">
        <w:t xml:space="preserve">, департамент финансов </w:t>
      </w:r>
      <w:r w:rsidR="008D7C9A">
        <w:t xml:space="preserve">администрации Города Томска </w:t>
      </w:r>
      <w:r w:rsidRPr="003B421C">
        <w:t>и в Счетную палату Города Томска в срок до 10 марта года, следующего за отчетным, в бумажном, а также в электронном виде.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несет ответственность за качество, полноту и достоверность данных в предоставленных отчетах.</w:t>
      </w:r>
    </w:p>
    <w:p w:rsidR="002924FC" w:rsidRPr="003B421C" w:rsidRDefault="002924FC" w:rsidP="002924FC">
      <w:pPr>
        <w:adjustRightInd w:val="0"/>
        <w:ind w:firstLine="851"/>
        <w:jc w:val="both"/>
        <w:outlineLvl w:val="1"/>
      </w:pPr>
      <w:r w:rsidRPr="003B421C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3B421C" w:rsidRDefault="002924FC" w:rsidP="002924FC">
      <w:pPr>
        <w:suppressAutoHyphens/>
        <w:adjustRightInd w:val="0"/>
        <w:ind w:firstLine="851"/>
        <w:jc w:val="both"/>
      </w:pPr>
      <w:r w:rsidRPr="003B421C">
        <w:t>Реализация подпрограммы освещается в средствах массовой информации.</w:t>
      </w:r>
    </w:p>
    <w:p w:rsidR="002924FC" w:rsidRPr="003B421C" w:rsidRDefault="002924FC" w:rsidP="002924FC">
      <w:pPr>
        <w:suppressAutoHyphens/>
        <w:adjustRightInd w:val="0"/>
      </w:pPr>
    </w:p>
    <w:p w:rsidR="00D27F2C" w:rsidRPr="003B421C" w:rsidRDefault="00D27F2C"/>
    <w:sectPr w:rsidR="00D27F2C" w:rsidRPr="003B421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A03"/>
    <w:rsid w:val="00392827"/>
    <w:rsid w:val="003A22F8"/>
    <w:rsid w:val="003A29D3"/>
    <w:rsid w:val="003B421C"/>
    <w:rsid w:val="003B58B1"/>
    <w:rsid w:val="003C62D2"/>
    <w:rsid w:val="00402331"/>
    <w:rsid w:val="00404EA6"/>
    <w:rsid w:val="00415579"/>
    <w:rsid w:val="004172D8"/>
    <w:rsid w:val="00461B86"/>
    <w:rsid w:val="005D0270"/>
    <w:rsid w:val="00614198"/>
    <w:rsid w:val="006605E2"/>
    <w:rsid w:val="006A2157"/>
    <w:rsid w:val="00771303"/>
    <w:rsid w:val="008004C9"/>
    <w:rsid w:val="00891D11"/>
    <w:rsid w:val="008C0A2B"/>
    <w:rsid w:val="008C1572"/>
    <w:rsid w:val="008D7C9A"/>
    <w:rsid w:val="009037E3"/>
    <w:rsid w:val="00903F73"/>
    <w:rsid w:val="00937DB8"/>
    <w:rsid w:val="009B0D53"/>
    <w:rsid w:val="00AE7096"/>
    <w:rsid w:val="00B932CE"/>
    <w:rsid w:val="00BF2A44"/>
    <w:rsid w:val="00C07935"/>
    <w:rsid w:val="00C30EF9"/>
    <w:rsid w:val="00C311AE"/>
    <w:rsid w:val="00C75100"/>
    <w:rsid w:val="00CC0403"/>
    <w:rsid w:val="00CF0F9A"/>
    <w:rsid w:val="00D268C4"/>
    <w:rsid w:val="00D27F2C"/>
    <w:rsid w:val="00D66FD8"/>
    <w:rsid w:val="00DB2F46"/>
    <w:rsid w:val="00E95986"/>
    <w:rsid w:val="00EC01FF"/>
    <w:rsid w:val="00EF769B"/>
    <w:rsid w:val="00F236C5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2873</Words>
  <Characters>16381</Characters>
  <Application>Microsoft Office Word</Application>
  <DocSecurity>0</DocSecurity>
  <Lines>136</Lines>
  <Paragraphs>38</Paragraphs>
  <ScaleCrop>false</ScaleCrop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aksinenko</cp:lastModifiedBy>
  <cp:revision>2</cp:revision>
  <dcterms:created xsi:type="dcterms:W3CDTF">2019-12-03T05:30:00Z</dcterms:created>
  <dcterms:modified xsi:type="dcterms:W3CDTF">2019-12-03T05:30:00Z</dcterms:modified>
</cp:coreProperties>
</file>