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7" w:rsidRPr="00A4793D" w:rsidRDefault="00AE3DA7" w:rsidP="00AE3D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AE3DA7" w:rsidRPr="00A4793D" w:rsidRDefault="00AE3DA7" w:rsidP="00AE3D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AE3DA7" w:rsidRPr="00A4793D" w:rsidRDefault="00AE3DA7" w:rsidP="00AE3D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0A62AC" w:rsidRDefault="0002099F" w:rsidP="000A62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A62AC">
        <w:rPr>
          <w:rFonts w:ascii="Times New Roman" w:hAnsi="Times New Roman" w:cs="Times New Roman"/>
          <w:sz w:val="16"/>
          <w:szCs w:val="16"/>
        </w:rPr>
        <w:t>от 25.03.2020 № 236</w:t>
      </w:r>
    </w:p>
    <w:p w:rsidR="00AE3DA7" w:rsidRDefault="00AE3DA7" w:rsidP="000A6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2AC" w:rsidRPr="00A4793D" w:rsidRDefault="000A62AC" w:rsidP="000A6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E3DA7" w:rsidRDefault="00AE3DA7" w:rsidP="00AE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ХАРАКТЕРИСТИКА МУНИЦИПАЛЬНОЙ ПРОГРАММЫ</w:t>
      </w:r>
    </w:p>
    <w:p w:rsidR="0002099F" w:rsidRPr="002D3887" w:rsidRDefault="0002099F" w:rsidP="00AE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8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на 2015 - 2025 годы сформирована исходя из приоритетов социально-экономического развития Томской области и муниципального образования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Город Томск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(далее - Город Томск), определенных в стратегических документах регионального и муниципального уровней.</w:t>
      </w:r>
      <w:proofErr w:type="gramEnd"/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87">
        <w:rPr>
          <w:rFonts w:ascii="Times New Roman" w:hAnsi="Times New Roman" w:cs="Times New Roman"/>
          <w:sz w:val="24"/>
          <w:szCs w:val="24"/>
        </w:rPr>
        <w:t xml:space="preserve">Так, </w:t>
      </w:r>
      <w:hyperlink r:id="rId6" w:history="1">
        <w:r w:rsidRPr="002D3887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D388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 в рамках цели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Реализация модели интенсивного развития, включая развитие 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определены задачи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обеспечить развитие промышленности и предпринимательства в Томской области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и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повысить научно-образовательную и научно-практическую отдачу сектора образования, исследований и разработок, обеспечить развитие высокотехнологичных кластеров и инновационной инфраструктуры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Среди основных направлений Стратегии социально-экономического развития муниципального образования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Город Томск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до 2030 года 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экономическое развитие Города Томска как центра инновационной экономики.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D47445" w:rsidRPr="002D3887">
        <w:rPr>
          <w:rFonts w:ascii="Times New Roman" w:hAnsi="Times New Roman" w:cs="Times New Roman"/>
          <w:sz w:val="24"/>
          <w:szCs w:val="24"/>
        </w:rPr>
        <w:t>20</w:t>
      </w:r>
      <w:r w:rsidRPr="002D3887">
        <w:rPr>
          <w:rFonts w:ascii="Times New Roman" w:hAnsi="Times New Roman" w:cs="Times New Roman"/>
          <w:sz w:val="24"/>
          <w:szCs w:val="24"/>
        </w:rPr>
        <w:t xml:space="preserve"> на территории Города Томска было зарегистрировано </w:t>
      </w:r>
      <w:r w:rsidR="00D47445" w:rsidRPr="002D3887">
        <w:rPr>
          <w:rFonts w:ascii="Times New Roman" w:hAnsi="Times New Roman" w:cs="Times New Roman"/>
          <w:sz w:val="24"/>
          <w:szCs w:val="24"/>
        </w:rPr>
        <w:t>21382</w:t>
      </w:r>
      <w:r w:rsidRPr="002D3887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0D624B" w:rsidRPr="002D3887">
        <w:rPr>
          <w:rFonts w:ascii="Times New Roman" w:hAnsi="Times New Roman" w:cs="Times New Roman"/>
          <w:sz w:val="24"/>
          <w:szCs w:val="24"/>
        </w:rPr>
        <w:t xml:space="preserve">всех организационно-правовых форм </w:t>
      </w:r>
      <w:r w:rsidR="00651B70" w:rsidRPr="002D3887">
        <w:rPr>
          <w:rFonts w:ascii="Times New Roman" w:hAnsi="Times New Roman" w:cs="Times New Roman"/>
          <w:sz w:val="24"/>
          <w:szCs w:val="24"/>
        </w:rPr>
        <w:t xml:space="preserve">(в 2018 году зарегистрировано 22837 организаций) </w:t>
      </w:r>
      <w:r w:rsidRPr="002D3887">
        <w:rPr>
          <w:rFonts w:ascii="Times New Roman" w:hAnsi="Times New Roman" w:cs="Times New Roman"/>
          <w:sz w:val="24"/>
          <w:szCs w:val="24"/>
        </w:rPr>
        <w:t xml:space="preserve">и </w:t>
      </w:r>
      <w:r w:rsidR="00D47445" w:rsidRPr="002D3887">
        <w:rPr>
          <w:rFonts w:ascii="Times New Roman" w:hAnsi="Times New Roman" w:cs="Times New Roman"/>
          <w:sz w:val="24"/>
          <w:szCs w:val="24"/>
        </w:rPr>
        <w:t>15030</w:t>
      </w:r>
      <w:r w:rsidRPr="002D388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651B70" w:rsidRPr="002D3887">
        <w:rPr>
          <w:rFonts w:ascii="Times New Roman" w:hAnsi="Times New Roman" w:cs="Times New Roman"/>
          <w:sz w:val="24"/>
          <w:szCs w:val="24"/>
        </w:rPr>
        <w:t xml:space="preserve"> (в 2018 году зарегистрировано 14809 индивидуальных предпринимателей)</w:t>
      </w:r>
      <w:r w:rsidRPr="002D3887">
        <w:rPr>
          <w:rFonts w:ascii="Times New Roman" w:hAnsi="Times New Roman" w:cs="Times New Roman"/>
          <w:sz w:val="24"/>
          <w:szCs w:val="24"/>
        </w:rPr>
        <w:t>. Согласно оперативным статистическим данным, экономический оборот по полному кругу предприятий в 201</w:t>
      </w:r>
      <w:r w:rsidR="00D47445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D47445" w:rsidRPr="002D3887">
        <w:rPr>
          <w:rFonts w:ascii="Times New Roman" w:hAnsi="Times New Roman" w:cs="Times New Roman"/>
          <w:sz w:val="24"/>
          <w:szCs w:val="24"/>
        </w:rPr>
        <w:t>780,3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руб., что на </w:t>
      </w:r>
      <w:r w:rsidR="00D47445" w:rsidRPr="002D3887">
        <w:rPr>
          <w:rFonts w:ascii="Times New Roman" w:hAnsi="Times New Roman" w:cs="Times New Roman"/>
          <w:sz w:val="24"/>
          <w:szCs w:val="24"/>
        </w:rPr>
        <w:t>29,3</w:t>
      </w:r>
      <w:r w:rsidRPr="002D3887">
        <w:rPr>
          <w:rFonts w:ascii="Times New Roman" w:hAnsi="Times New Roman" w:cs="Times New Roman"/>
          <w:sz w:val="24"/>
          <w:szCs w:val="24"/>
        </w:rPr>
        <w:t xml:space="preserve"> млрд руб., или на </w:t>
      </w:r>
      <w:r w:rsidR="00D47445" w:rsidRPr="002D3887">
        <w:rPr>
          <w:rFonts w:ascii="Times New Roman" w:hAnsi="Times New Roman" w:cs="Times New Roman"/>
          <w:sz w:val="24"/>
          <w:szCs w:val="24"/>
        </w:rPr>
        <w:t>3,9</w:t>
      </w:r>
      <w:r w:rsidRPr="002D3887">
        <w:rPr>
          <w:rFonts w:ascii="Times New Roman" w:hAnsi="Times New Roman" w:cs="Times New Roman"/>
          <w:sz w:val="24"/>
          <w:szCs w:val="24"/>
        </w:rPr>
        <w:t>% выше показателя 201</w:t>
      </w:r>
      <w:r w:rsidR="00D47445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Оборот томских крупных и средних предприятий в 201</w:t>
      </w:r>
      <w:r w:rsidR="00651B70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651B70" w:rsidRPr="002D3887">
        <w:rPr>
          <w:rFonts w:ascii="Times New Roman" w:hAnsi="Times New Roman" w:cs="Times New Roman"/>
          <w:sz w:val="24"/>
          <w:szCs w:val="24"/>
        </w:rPr>
        <w:t>423,3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 и увеличился на </w:t>
      </w:r>
      <w:r w:rsidR="004C4586" w:rsidRPr="002D3887">
        <w:rPr>
          <w:rFonts w:ascii="Times New Roman" w:hAnsi="Times New Roman" w:cs="Times New Roman"/>
          <w:sz w:val="24"/>
          <w:szCs w:val="24"/>
        </w:rPr>
        <w:t>3,5</w:t>
      </w:r>
      <w:r w:rsidRPr="002D3887">
        <w:rPr>
          <w:rFonts w:ascii="Times New Roman" w:hAnsi="Times New Roman" w:cs="Times New Roman"/>
          <w:sz w:val="24"/>
          <w:szCs w:val="24"/>
        </w:rPr>
        <w:t xml:space="preserve"> млрд руб., или на </w:t>
      </w:r>
      <w:r w:rsidR="004C4586" w:rsidRPr="002D3887">
        <w:rPr>
          <w:rFonts w:ascii="Times New Roman" w:hAnsi="Times New Roman" w:cs="Times New Roman"/>
          <w:sz w:val="24"/>
          <w:szCs w:val="24"/>
        </w:rPr>
        <w:t>0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4C4586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>% в сравнении с показателем 201</w:t>
      </w:r>
      <w:r w:rsidR="004C4586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года. Оборот малых и </w:t>
      </w:r>
      <w:proofErr w:type="spellStart"/>
      <w:r w:rsidRPr="002D3887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2D3887">
        <w:rPr>
          <w:rFonts w:ascii="Times New Roman" w:hAnsi="Times New Roman" w:cs="Times New Roman"/>
          <w:sz w:val="24"/>
          <w:szCs w:val="24"/>
        </w:rPr>
        <w:t xml:space="preserve"> в 201</w:t>
      </w:r>
      <w:r w:rsidR="004C4586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году, по оценке, составил </w:t>
      </w:r>
      <w:r w:rsidR="004C4586" w:rsidRPr="002D3887">
        <w:rPr>
          <w:rFonts w:ascii="Times New Roman" w:hAnsi="Times New Roman" w:cs="Times New Roman"/>
          <w:sz w:val="24"/>
          <w:szCs w:val="24"/>
        </w:rPr>
        <w:t>357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4C4586" w:rsidRPr="002D3887">
        <w:rPr>
          <w:rFonts w:ascii="Times New Roman" w:hAnsi="Times New Roman" w:cs="Times New Roman"/>
          <w:sz w:val="24"/>
          <w:szCs w:val="24"/>
        </w:rPr>
        <w:t>0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руб., что на </w:t>
      </w:r>
      <w:r w:rsidR="004C4586" w:rsidRPr="002D3887">
        <w:rPr>
          <w:rFonts w:ascii="Times New Roman" w:hAnsi="Times New Roman" w:cs="Times New Roman"/>
          <w:sz w:val="24"/>
          <w:szCs w:val="24"/>
        </w:rPr>
        <w:t>25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4C4586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млрд руб. или на </w:t>
      </w:r>
      <w:r w:rsidR="004C4586" w:rsidRPr="002D3887">
        <w:rPr>
          <w:rFonts w:ascii="Times New Roman" w:hAnsi="Times New Roman" w:cs="Times New Roman"/>
          <w:sz w:val="24"/>
          <w:szCs w:val="24"/>
        </w:rPr>
        <w:t>7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4C4586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>% больше в сравнении с 201</w:t>
      </w:r>
      <w:r w:rsidR="004C4586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C4586" w:rsidRPr="002D3887">
        <w:rPr>
          <w:rFonts w:ascii="Times New Roman" w:hAnsi="Times New Roman" w:cs="Times New Roman"/>
          <w:sz w:val="24"/>
          <w:szCs w:val="24"/>
        </w:rPr>
        <w:t>25</w:t>
      </w:r>
      <w:r w:rsidRPr="002D3887">
        <w:rPr>
          <w:rFonts w:ascii="Times New Roman" w:hAnsi="Times New Roman" w:cs="Times New Roman"/>
          <w:sz w:val="24"/>
          <w:szCs w:val="24"/>
        </w:rPr>
        <w:t>% от оборота крупных и средних томских предприятий (</w:t>
      </w:r>
      <w:r w:rsidR="004C4586" w:rsidRPr="002D3887">
        <w:rPr>
          <w:rFonts w:ascii="Times New Roman" w:hAnsi="Times New Roman" w:cs="Times New Roman"/>
          <w:sz w:val="24"/>
          <w:szCs w:val="24"/>
        </w:rPr>
        <w:t>106,2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руб.) обеспечены промышленным сектором. В 201</w:t>
      </w:r>
      <w:r w:rsidR="004C4586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году, согласно оперативным статистическим данным, крупными и средними предприятиями Города Томска произведено промышленной продукции на </w:t>
      </w:r>
      <w:r w:rsidR="004C4586" w:rsidRPr="002D3887">
        <w:rPr>
          <w:rFonts w:ascii="Times New Roman" w:hAnsi="Times New Roman" w:cs="Times New Roman"/>
          <w:sz w:val="24"/>
          <w:szCs w:val="24"/>
        </w:rPr>
        <w:t>108453,5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 (1</w:t>
      </w:r>
      <w:r w:rsidR="006F777A" w:rsidRPr="002D3887">
        <w:rPr>
          <w:rFonts w:ascii="Times New Roman" w:hAnsi="Times New Roman" w:cs="Times New Roman"/>
          <w:sz w:val="24"/>
          <w:szCs w:val="24"/>
        </w:rPr>
        <w:t>81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6F777A" w:rsidRPr="002D3887">
        <w:rPr>
          <w:rFonts w:ascii="Times New Roman" w:hAnsi="Times New Roman" w:cs="Times New Roman"/>
          <w:sz w:val="24"/>
          <w:szCs w:val="24"/>
        </w:rPr>
        <w:t>4</w:t>
      </w:r>
      <w:r w:rsidRPr="002D3887">
        <w:rPr>
          <w:rFonts w:ascii="Times New Roman" w:hAnsi="Times New Roman" w:cs="Times New Roman"/>
          <w:sz w:val="24"/>
          <w:szCs w:val="24"/>
        </w:rPr>
        <w:t xml:space="preserve"> тыс. руб. в расчете на 1 жителя). В натуральных показателях прирост промышленного производства составил </w:t>
      </w:r>
      <w:r w:rsidR="004C4586" w:rsidRPr="002D3887">
        <w:rPr>
          <w:rFonts w:ascii="Times New Roman" w:hAnsi="Times New Roman" w:cs="Times New Roman"/>
          <w:sz w:val="24"/>
          <w:szCs w:val="24"/>
        </w:rPr>
        <w:t>2,1</w:t>
      </w:r>
      <w:r w:rsidR="000D624B" w:rsidRPr="002D3887">
        <w:rPr>
          <w:rFonts w:ascii="Times New Roman" w:hAnsi="Times New Roman" w:cs="Times New Roman"/>
          <w:sz w:val="24"/>
          <w:szCs w:val="24"/>
        </w:rPr>
        <w:t>%</w:t>
      </w:r>
      <w:r w:rsidRPr="002D3887">
        <w:rPr>
          <w:rFonts w:ascii="Times New Roman" w:hAnsi="Times New Roman" w:cs="Times New Roman"/>
          <w:sz w:val="24"/>
          <w:szCs w:val="24"/>
        </w:rPr>
        <w:t>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D624B" w:rsidRPr="002D3887">
        <w:rPr>
          <w:rFonts w:ascii="Times New Roman" w:hAnsi="Times New Roman" w:cs="Times New Roman"/>
          <w:sz w:val="24"/>
          <w:szCs w:val="24"/>
        </w:rPr>
        <w:t>прогноз</w:t>
      </w:r>
      <w:r w:rsidR="00F50D19">
        <w:rPr>
          <w:rFonts w:ascii="Times New Roman" w:hAnsi="Times New Roman" w:cs="Times New Roman"/>
          <w:sz w:val="24"/>
          <w:szCs w:val="24"/>
        </w:rPr>
        <w:t>у</w:t>
      </w:r>
      <w:r w:rsidRPr="002D3887">
        <w:rPr>
          <w:rFonts w:ascii="Times New Roman" w:hAnsi="Times New Roman" w:cs="Times New Roman"/>
          <w:sz w:val="24"/>
          <w:szCs w:val="24"/>
        </w:rPr>
        <w:t>, объем инвестиций в основной капитал всех хозяйствующих субъектов Города Томска в 201</w:t>
      </w:r>
      <w:r w:rsidR="000D624B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0D624B" w:rsidRPr="002D3887">
        <w:rPr>
          <w:rFonts w:ascii="Times New Roman" w:hAnsi="Times New Roman" w:cs="Times New Roman"/>
          <w:sz w:val="24"/>
          <w:szCs w:val="24"/>
        </w:rPr>
        <w:t>т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0D624B" w:rsidRPr="002D3887">
        <w:rPr>
          <w:rFonts w:ascii="Times New Roman" w:hAnsi="Times New Roman" w:cs="Times New Roman"/>
          <w:sz w:val="24"/>
          <w:szCs w:val="24"/>
        </w:rPr>
        <w:t>40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0D624B" w:rsidRPr="002D3887">
        <w:rPr>
          <w:rFonts w:ascii="Times New Roman" w:hAnsi="Times New Roman" w:cs="Times New Roman"/>
          <w:sz w:val="24"/>
          <w:szCs w:val="24"/>
        </w:rPr>
        <w:t>0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руб., что на </w:t>
      </w:r>
      <w:r w:rsidR="000D624B" w:rsidRPr="002D3887">
        <w:rPr>
          <w:rFonts w:ascii="Times New Roman" w:hAnsi="Times New Roman" w:cs="Times New Roman"/>
          <w:sz w:val="24"/>
          <w:szCs w:val="24"/>
        </w:rPr>
        <w:t>2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0D624B" w:rsidRPr="002D3887">
        <w:rPr>
          <w:rFonts w:ascii="Times New Roman" w:hAnsi="Times New Roman" w:cs="Times New Roman"/>
          <w:sz w:val="24"/>
          <w:szCs w:val="24"/>
        </w:rPr>
        <w:t>6</w:t>
      </w:r>
      <w:r w:rsidRPr="002D3887">
        <w:rPr>
          <w:rFonts w:ascii="Times New Roman" w:hAnsi="Times New Roman" w:cs="Times New Roman"/>
          <w:sz w:val="24"/>
          <w:szCs w:val="24"/>
        </w:rPr>
        <w:t xml:space="preserve"> млрд руб., или на </w:t>
      </w:r>
      <w:r w:rsidR="000D624B" w:rsidRPr="002D3887">
        <w:rPr>
          <w:rFonts w:ascii="Times New Roman" w:hAnsi="Times New Roman" w:cs="Times New Roman"/>
          <w:sz w:val="24"/>
          <w:szCs w:val="24"/>
        </w:rPr>
        <w:t>6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0D624B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>%, больше показателя 201</w:t>
      </w:r>
      <w:r w:rsidR="000D624B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0711" w:rsidRPr="002D3887">
        <w:rPr>
          <w:rFonts w:ascii="Times New Roman" w:hAnsi="Times New Roman" w:cs="Times New Roman"/>
          <w:sz w:val="24"/>
          <w:szCs w:val="24"/>
        </w:rPr>
        <w:t>(</w:t>
      </w:r>
      <w:r w:rsidRPr="002D3887">
        <w:rPr>
          <w:rFonts w:ascii="Times New Roman" w:hAnsi="Times New Roman" w:cs="Times New Roman"/>
          <w:sz w:val="24"/>
          <w:szCs w:val="24"/>
        </w:rPr>
        <w:t>в действующих ценах</w:t>
      </w:r>
      <w:r w:rsidR="00250711" w:rsidRPr="002D3887">
        <w:rPr>
          <w:rFonts w:ascii="Times New Roman" w:hAnsi="Times New Roman" w:cs="Times New Roman"/>
          <w:sz w:val="24"/>
          <w:szCs w:val="24"/>
        </w:rPr>
        <w:t>)</w:t>
      </w:r>
      <w:r w:rsidRPr="002D3887">
        <w:rPr>
          <w:rFonts w:ascii="Times New Roman" w:hAnsi="Times New Roman" w:cs="Times New Roman"/>
          <w:sz w:val="24"/>
          <w:szCs w:val="24"/>
        </w:rPr>
        <w:t>. В расчете на 1 жителя</w:t>
      </w:r>
      <w:r w:rsidR="00861C91"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Pr="002D3887">
        <w:rPr>
          <w:rFonts w:ascii="Times New Roman" w:hAnsi="Times New Roman" w:cs="Times New Roman"/>
          <w:sz w:val="24"/>
          <w:szCs w:val="24"/>
        </w:rPr>
        <w:t>объем инвестиций в основной капитал в 201</w:t>
      </w:r>
      <w:r w:rsidR="000D624B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0D624B" w:rsidRPr="002D3887">
        <w:rPr>
          <w:rFonts w:ascii="Times New Roman" w:hAnsi="Times New Roman" w:cs="Times New Roman"/>
          <w:sz w:val="24"/>
          <w:szCs w:val="24"/>
        </w:rPr>
        <w:t>т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861C91" w:rsidRPr="002D3887">
        <w:rPr>
          <w:rFonts w:ascii="Times New Roman" w:hAnsi="Times New Roman" w:cs="Times New Roman"/>
          <w:sz w:val="24"/>
          <w:szCs w:val="24"/>
        </w:rPr>
        <w:t>66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861C91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На территории Города Томска функционирует более 6 тысяч объектов потребительского рынка. В их структуре основную долю занимают </w:t>
      </w:r>
      <w:r w:rsidR="00861C91" w:rsidRPr="002D3887">
        <w:rPr>
          <w:rFonts w:ascii="Times New Roman" w:hAnsi="Times New Roman" w:cs="Times New Roman"/>
          <w:sz w:val="24"/>
          <w:szCs w:val="24"/>
        </w:rPr>
        <w:t>3992</w:t>
      </w:r>
      <w:r w:rsidRPr="002D3887">
        <w:rPr>
          <w:rFonts w:ascii="Times New Roman" w:hAnsi="Times New Roman" w:cs="Times New Roman"/>
          <w:sz w:val="24"/>
          <w:szCs w:val="24"/>
        </w:rPr>
        <w:t xml:space="preserve"> п</w:t>
      </w:r>
      <w:r w:rsidR="00861C91" w:rsidRPr="002D3887">
        <w:rPr>
          <w:rFonts w:ascii="Times New Roman" w:hAnsi="Times New Roman" w:cs="Times New Roman"/>
          <w:sz w:val="24"/>
          <w:szCs w:val="24"/>
        </w:rPr>
        <w:t>редприятий торговли на 01.01.2020</w:t>
      </w:r>
      <w:r w:rsidRPr="002D3887">
        <w:rPr>
          <w:rFonts w:ascii="Times New Roman" w:hAnsi="Times New Roman" w:cs="Times New Roman"/>
          <w:sz w:val="24"/>
          <w:szCs w:val="24"/>
        </w:rPr>
        <w:t>. Развитие инфраструктуры потребительского рынка положительно влияет на объем розничного товарооборота, который в 20</w:t>
      </w:r>
      <w:r w:rsidR="00861C91" w:rsidRPr="002D3887">
        <w:rPr>
          <w:rFonts w:ascii="Times New Roman" w:hAnsi="Times New Roman" w:cs="Times New Roman"/>
          <w:sz w:val="24"/>
          <w:szCs w:val="24"/>
        </w:rPr>
        <w:t>19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 составил 1</w:t>
      </w:r>
      <w:r w:rsidR="00861C91" w:rsidRPr="002D3887">
        <w:rPr>
          <w:rFonts w:ascii="Times New Roman" w:hAnsi="Times New Roman" w:cs="Times New Roman"/>
          <w:sz w:val="24"/>
          <w:szCs w:val="24"/>
        </w:rPr>
        <w:t>33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861C91" w:rsidRPr="002D3887">
        <w:rPr>
          <w:rFonts w:ascii="Times New Roman" w:hAnsi="Times New Roman" w:cs="Times New Roman"/>
          <w:sz w:val="24"/>
          <w:szCs w:val="24"/>
        </w:rPr>
        <w:t>4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 и на </w:t>
      </w:r>
      <w:r w:rsidR="00861C91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>,</w:t>
      </w:r>
      <w:r w:rsidR="00861C91" w:rsidRPr="002D3887">
        <w:rPr>
          <w:rFonts w:ascii="Times New Roman" w:hAnsi="Times New Roman" w:cs="Times New Roman"/>
          <w:sz w:val="24"/>
          <w:szCs w:val="24"/>
        </w:rPr>
        <w:t>4</w:t>
      </w:r>
      <w:r w:rsidRPr="002D3887">
        <w:rPr>
          <w:rFonts w:ascii="Times New Roman" w:hAnsi="Times New Roman" w:cs="Times New Roman"/>
          <w:sz w:val="24"/>
          <w:szCs w:val="24"/>
        </w:rPr>
        <w:t>% превысил показатель 201</w:t>
      </w:r>
      <w:r w:rsidR="00861C91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года (в действующих ценах). Оборот общественного питания в Городе Томске в 201</w:t>
      </w:r>
      <w:r w:rsidR="00861C91" w:rsidRPr="002D3887">
        <w:rPr>
          <w:rFonts w:ascii="Times New Roman" w:hAnsi="Times New Roman" w:cs="Times New Roman"/>
          <w:sz w:val="24"/>
          <w:szCs w:val="24"/>
        </w:rPr>
        <w:t>9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861C91" w:rsidRPr="002D3887">
        <w:rPr>
          <w:rFonts w:ascii="Times New Roman" w:hAnsi="Times New Roman" w:cs="Times New Roman"/>
          <w:sz w:val="24"/>
          <w:szCs w:val="24"/>
        </w:rPr>
        <w:t>2628,2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="00861C91" w:rsidRPr="002D3887">
        <w:rPr>
          <w:rFonts w:ascii="Times New Roman" w:hAnsi="Times New Roman" w:cs="Times New Roman"/>
          <w:sz w:val="24"/>
          <w:szCs w:val="24"/>
        </w:rPr>
        <w:t>выше</w:t>
      </w:r>
      <w:r w:rsidRPr="002D3887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861C91" w:rsidRPr="002D3887">
        <w:rPr>
          <w:rFonts w:ascii="Times New Roman" w:hAnsi="Times New Roman" w:cs="Times New Roman"/>
          <w:sz w:val="24"/>
          <w:szCs w:val="24"/>
        </w:rPr>
        <w:t>8</w:t>
      </w:r>
      <w:r w:rsidRPr="002D38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C91" w:rsidRPr="002D3887">
        <w:rPr>
          <w:rFonts w:ascii="Times New Roman" w:hAnsi="Times New Roman" w:cs="Times New Roman"/>
          <w:sz w:val="24"/>
          <w:szCs w:val="24"/>
        </w:rPr>
        <w:t xml:space="preserve"> на 3,4% (в действующих ценах)</w:t>
      </w:r>
      <w:r w:rsidRPr="002D3887">
        <w:rPr>
          <w:rFonts w:ascii="Times New Roman" w:hAnsi="Times New Roman" w:cs="Times New Roman"/>
          <w:sz w:val="24"/>
          <w:szCs w:val="24"/>
        </w:rPr>
        <w:t>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Несмотря на положительную динамику социально-экономического развития Города Томска, в сферах реализации муниципальной программы существует ряд нерешенных проблем, которые являются препятствием для достижения стратегических целей и задач: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1. Усиливающаяся конкуренция на внутреннем и внешних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(в том числе из стран - участниц Таможенного союза и стран ВТО).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Высокий уровень издержек, связанных с продвижением продукции предпринимательства на внутренний, межрегиональный и международный рынки.</w:t>
      </w:r>
      <w:proofErr w:type="gramEnd"/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lastRenderedPageBreak/>
        <w:t>2. Проблема размещения производственной недвижимости как основной сдерживающий фактор для развития промышленности,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3. Недостаточно сформированный спрос и рынок для инновационной продукции (работ, услуг), в том числе на муниципальном уровне, неотлаженный механизм формирования планов государственных и муниципальных закупок с инновационной составляющей; перекос в сторону закупки готового оборудования за рубежом в ущерб использованию собственной инновационной продукции.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4. Малая доля </w:t>
      </w:r>
      <w:proofErr w:type="spellStart"/>
      <w:r w:rsidRPr="002D3887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D3887">
        <w:rPr>
          <w:rFonts w:ascii="Times New Roman" w:hAnsi="Times New Roman" w:cs="Times New Roman"/>
          <w:sz w:val="24"/>
          <w:szCs w:val="24"/>
        </w:rPr>
        <w:t xml:space="preserve"> активных малых предприятий в общем числе субъектов малого и среднего предпринимательства. Малая доля субъектов малого и среднего предпринимательства, осуществляющих технологические инновации.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Указанные проблемы, а также анализ состояния и перспектив развития Города Томска определили цель, задачи и структуру муниципальной программы, состоящей из следующих подпрограмм: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1) подпрограмма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>;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2) подпрограмма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Развитие инновационной деятельности субъектов малого и среднего предпринимательства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>;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3) подпрограмма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Обеспечение реализации эффективной экономической политики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>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Программно-целевой метод планирования деятельности, являющийся эффективным механизмом решения вышеуказанных проблем, предусматривает четкое определение целей и задач, выбор перечня скоординированных мероприятий муниципальной программы, реализация которых будет способствовать: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1. Увеличению вклада предпринимательства в экономику Города Томска и Томской области: созданию рабочих мест, увеличению налогооблагаемой базы.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2. Обеспечению положительных эффектов за счет высокой плотности промышленного производства, взаимодействия между предприятиями, эффекта масштаба и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кластерных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эффектов.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3.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4. Увеличению числа инновационных предприятий, росту количества малых инновационных предприятий, продукция которых может быть использована для решения актуальных проблем городского хозяйства.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5. Повышению инвестиционной и инновационной открытости Города Томска, формированию позитивного имиджа города как центра инноваций.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В ближайшем прогнозируемом периоде до 2025 года сохранится положительная динамика развития сферы предпринимательства и инновационной деятельности. Мероприятия муниципальной программы направлены на оказание финансовой, информационной, методической и образовательной поддержки.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будет способствовать увеличению количества субъектов малого и среднего предпринимательства, росту объемов налоговых поступлений от субъектов малого и среднего предпринимательства, созданию и сохранению рабочих мест субъектов малого и среднего предпринимательства, модернизации производства томских предприятий за счет приобретения нового оборудования, новых технологий, программных средств и использования иных видов подготовки производства для выпуска новых продуктов, внедрения новых услуг.</w:t>
      </w:r>
      <w:proofErr w:type="gramEnd"/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По окончании реализации муниципальной программы в 2025 году увеличение экономического оборота к уровню 2012 года в сопоставимых ценах составит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+52,2%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; инвестиции в основной капитал в расчете на 1 жителя, тыс. руб./чел./рост к уровню 2012 года в сопоставимых ценах составят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99,8/+2,6%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; объем поступлений налогов на совокупный доход в консолидированный бюджет Томской области с территории Города Томска составит 2633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руб.; доля инновационных товаров, работ и услуг в общем объеме отгруженных товаров, работ и услуг достигнет 35,6%.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до 31.12.2017 запланирована реализация мероприятий подпрограммы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Обеспечение реализации эффективной экономической политики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с общим объемом финансирования (потребность) в 2015 - 2017 годах 2552 тысячи руб., в том числе 2164 тысячи руб. в 2015 году; 174 тысячи руб. в 2016 году и 214 тысяч руб. в 2017 году.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часть финансирования (2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руб. в 2015 году) предусмотрена на проведение актуализации реестра объектов потребительского рынка Город</w:t>
      </w:r>
      <w:r w:rsidR="001B0A40">
        <w:rPr>
          <w:rFonts w:ascii="Times New Roman" w:hAnsi="Times New Roman" w:cs="Times New Roman"/>
          <w:sz w:val="24"/>
          <w:szCs w:val="24"/>
        </w:rPr>
        <w:t>а</w:t>
      </w:r>
      <w:r w:rsidRPr="002D3887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1B0A40">
        <w:rPr>
          <w:rFonts w:ascii="Times New Roman" w:hAnsi="Times New Roman" w:cs="Times New Roman"/>
          <w:sz w:val="24"/>
          <w:szCs w:val="24"/>
        </w:rPr>
        <w:t>а</w:t>
      </w:r>
      <w:r w:rsidRPr="002D3887">
        <w:rPr>
          <w:rFonts w:ascii="Times New Roman" w:hAnsi="Times New Roman" w:cs="Times New Roman"/>
          <w:sz w:val="24"/>
          <w:szCs w:val="24"/>
        </w:rPr>
        <w:t xml:space="preserve">. Существующий в настоящее время реестр требует обновления, поскольку количество включенных в него объектов на сегодняшний день составляет около 5000 единиц, а по оценке отдела по развитию потребительского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рынка управления экономического развития</w:t>
      </w:r>
      <w:r w:rsidR="002412B5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proofErr w:type="gramEnd"/>
      <w:r w:rsidR="002412B5">
        <w:rPr>
          <w:rFonts w:ascii="Times New Roman" w:hAnsi="Times New Roman" w:cs="Times New Roman"/>
          <w:sz w:val="24"/>
          <w:szCs w:val="24"/>
        </w:rPr>
        <w:t xml:space="preserve"> Томска</w:t>
      </w:r>
      <w:r w:rsidRPr="002D3887">
        <w:rPr>
          <w:rFonts w:ascii="Times New Roman" w:hAnsi="Times New Roman" w:cs="Times New Roman"/>
          <w:sz w:val="24"/>
          <w:szCs w:val="24"/>
        </w:rPr>
        <w:t>, фактическое количество объектов потребительского рынка - около 7000 единиц. Данные, полученные в ходе проведения актуализации реестра, в частности, используются при расчете норматива обеспеченности населения торговыми площадями, посадочными местами (в том числе общественного питания), а также уровня и динамики развития сферы потребительского рынка, что необходимо для определения дальнейшей стратегии его развития.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Обеспечение реализации эффективной экономической политики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также предусматривает покупку статистических материалов, которые являются основой для проведения анализа социально-экономического развития Город</w:t>
      </w:r>
      <w:r w:rsidR="001B0A40">
        <w:rPr>
          <w:rFonts w:ascii="Times New Roman" w:hAnsi="Times New Roman" w:cs="Times New Roman"/>
          <w:sz w:val="24"/>
          <w:szCs w:val="24"/>
        </w:rPr>
        <w:t>а</w:t>
      </w:r>
      <w:r w:rsidRPr="002D3887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1B0A40">
        <w:rPr>
          <w:rFonts w:ascii="Times New Roman" w:hAnsi="Times New Roman" w:cs="Times New Roman"/>
          <w:sz w:val="24"/>
          <w:szCs w:val="24"/>
        </w:rPr>
        <w:t>а</w:t>
      </w:r>
      <w:r w:rsidRPr="002D3887">
        <w:rPr>
          <w:rFonts w:ascii="Times New Roman" w:hAnsi="Times New Roman" w:cs="Times New Roman"/>
          <w:sz w:val="24"/>
          <w:szCs w:val="24"/>
        </w:rPr>
        <w:t>, определения приоритетов и формирования прогноза социально-экономического развития, разработки стратегических и программных документов. Также в рамках обеспечивающей подпрограммы запланировано проведение мероприятий (семинаров) для предприятий в сфере общественного питания, направленных на повышение качества услуг и рост числа предприятий в указанной сфере.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Значения показателей муниципальной программы определены на основании следующих источников: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- официальные статистические данные;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- данные, предоставленные Администрацией Томской области;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- прогнозные данных социально-экономического развития Города Томска на соответствующие периоды;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- анализ данных базовых крупных и средних организаций, осуществляющих деятельность на территории Города Томска, о планируемых ими показателях работы на соответствующие периоды.</w:t>
      </w:r>
    </w:p>
    <w:p w:rsidR="00F824DE" w:rsidRPr="002D3887" w:rsidRDefault="00F824DE" w:rsidP="00F82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</w:p>
    <w:p w:rsidR="0089247F" w:rsidRPr="002D3887" w:rsidRDefault="0089247F" w:rsidP="00892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7">
        <w:rPr>
          <w:rFonts w:ascii="Times New Roman" w:hAnsi="Times New Roman" w:cs="Times New Roman"/>
          <w:b/>
          <w:sz w:val="24"/>
          <w:szCs w:val="24"/>
        </w:rPr>
        <w:t>Развитие малого предпринимательства</w:t>
      </w:r>
    </w:p>
    <w:p w:rsidR="00A05A80" w:rsidRPr="002D3887" w:rsidRDefault="002412B5" w:rsidP="00A05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МСП</w:t>
      </w:r>
      <w:r w:rsidR="00A05A80" w:rsidRPr="002D3887">
        <w:rPr>
          <w:rFonts w:ascii="Times New Roman" w:hAnsi="Times New Roman" w:cs="Times New Roman"/>
          <w:sz w:val="24"/>
          <w:szCs w:val="24"/>
        </w:rPr>
        <w:t xml:space="preserve"> играет существенную роль в экономике </w:t>
      </w:r>
      <w:r w:rsidR="00A87569">
        <w:rPr>
          <w:rFonts w:ascii="Times New Roman" w:hAnsi="Times New Roman" w:cs="Times New Roman"/>
          <w:sz w:val="24"/>
          <w:szCs w:val="24"/>
        </w:rPr>
        <w:t>Г</w:t>
      </w:r>
      <w:r w:rsidR="00A05A80" w:rsidRPr="002D3887">
        <w:rPr>
          <w:rFonts w:ascii="Times New Roman" w:hAnsi="Times New Roman" w:cs="Times New Roman"/>
          <w:sz w:val="24"/>
          <w:szCs w:val="24"/>
        </w:rPr>
        <w:t xml:space="preserve">орода Томска, по статистическим данным в 2019 году обеспечив более 45% экономического оборота и занятость почти 147 тысяч человек – это более 53% численности занятых работников </w:t>
      </w:r>
      <w:r w:rsidR="00B60928">
        <w:rPr>
          <w:rFonts w:ascii="Times New Roman" w:hAnsi="Times New Roman" w:cs="Times New Roman"/>
          <w:sz w:val="24"/>
          <w:szCs w:val="24"/>
        </w:rPr>
        <w:t>Г</w:t>
      </w:r>
      <w:r w:rsidR="00A05A80" w:rsidRPr="002D3887">
        <w:rPr>
          <w:rFonts w:ascii="Times New Roman" w:hAnsi="Times New Roman" w:cs="Times New Roman"/>
          <w:sz w:val="24"/>
          <w:szCs w:val="24"/>
        </w:rPr>
        <w:t>орода Томска.</w:t>
      </w:r>
    </w:p>
    <w:p w:rsidR="00A05A80" w:rsidRPr="002D3887" w:rsidRDefault="00A05A80" w:rsidP="00A05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87">
        <w:rPr>
          <w:rFonts w:ascii="Times New Roman" w:hAnsi="Times New Roman" w:cs="Times New Roman"/>
          <w:sz w:val="24"/>
          <w:szCs w:val="24"/>
        </w:rPr>
        <w:t>По итогам 2019 года количество малых и микро предприятий 17364 ед., что на 6,2% меньше уровня прошлого года в (в 2018 году 18504 ед.), количество средних предприятий составило 76 ед., что на 3,8% на меньше уровня прошлого года в (в 2018 году 79 ед.), количество индивидуальных предпринимателей (далее – ИП) по итогам 2019 года составило 15030 ед., что на 1,5% на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больше уровня прошлого года в (в 2018 году 14809 ед.). Общее количество субъектов малого и среднего предпринимательства (далее – МПС)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включая ИП в 2019 году составило 32470 ед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. К развивающимся направлениям малого и среднего бизнеса относятся: IT сфера и современные технологии, </w:t>
      </w:r>
      <w:proofErr w:type="spellStart"/>
      <w:r w:rsidRPr="002D3887">
        <w:rPr>
          <w:rFonts w:ascii="Times New Roman" w:hAnsi="Times New Roman" w:cs="Times New Roman"/>
          <w:sz w:val="24"/>
          <w:szCs w:val="24"/>
        </w:rPr>
        <w:t>интернет-торговля</w:t>
      </w:r>
      <w:proofErr w:type="spellEnd"/>
      <w:r w:rsidRPr="002D3887">
        <w:rPr>
          <w:rFonts w:ascii="Times New Roman" w:hAnsi="Times New Roman" w:cs="Times New Roman"/>
          <w:sz w:val="24"/>
          <w:szCs w:val="24"/>
        </w:rPr>
        <w:t>, сфера бытовых услуг населению, консультационные и образовательные услуги. В ближайшие годы положительная динамика развития МСП по этим направлениям сохранится.</w:t>
      </w:r>
    </w:p>
    <w:p w:rsidR="00A05A80" w:rsidRPr="002D3887" w:rsidRDefault="00A05A80" w:rsidP="00A05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gramStart"/>
      <w:r w:rsidRPr="002D3887">
        <w:rPr>
          <w:rFonts w:ascii="Times New Roman" w:hAnsi="Times New Roman" w:cs="Times New Roman"/>
          <w:sz w:val="24"/>
          <w:szCs w:val="24"/>
        </w:rPr>
        <w:t>отрицательна динамика снижения количества МСП последних лет сохранится</w:t>
      </w:r>
      <w:proofErr w:type="gramEnd"/>
      <w:r w:rsidRPr="002D3887">
        <w:rPr>
          <w:rFonts w:ascii="Times New Roman" w:hAnsi="Times New Roman" w:cs="Times New Roman"/>
          <w:sz w:val="24"/>
          <w:szCs w:val="24"/>
        </w:rPr>
        <w:t xml:space="preserve"> и составит 97,2% к уровню прошлого года (2018 год 33392 ед. против 32470 в 2019 году). Снижение количества субъектов МСП планируется и в 2020 году до 31950 ед. Это в первую очередь связано с тем, что с 1 сентября 2017 г. у налоговых органов появилось больше оснований для исключения. Наличие отметки о недостоверности сведений о компании в ЕГРЮЛ в течение более чем шести месяцев с момента внесения такой записи и компания исключается из реестра. Тем самым ЕГРЮЛ фильтруется от фирм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однодневок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. Так же  на отрицательную динамику повлияли изменения налогового законодательства для субъектов МСП, повышения минимального размера заработной платы, размера отчислений на обязательное пенсионное и медицинское страхование. </w:t>
      </w:r>
    </w:p>
    <w:p w:rsidR="00A05A80" w:rsidRPr="002D3887" w:rsidRDefault="00A05A80" w:rsidP="00A05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В долгосрочной перспективе развития МСП негативных изменений не ожидается, напротив, с </w:t>
      </w:r>
      <w:r w:rsidRPr="002D3887">
        <w:rPr>
          <w:rFonts w:ascii="Times New Roman" w:hAnsi="Times New Roman" w:cs="Times New Roman"/>
          <w:sz w:val="24"/>
          <w:szCs w:val="24"/>
        </w:rPr>
        <w:lastRenderedPageBreak/>
        <w:t xml:space="preserve">июля 2020 года закон о </w:t>
      </w:r>
      <w:proofErr w:type="spellStart"/>
      <w:r w:rsidRPr="002D388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D3887">
        <w:rPr>
          <w:rFonts w:ascii="Times New Roman" w:hAnsi="Times New Roman" w:cs="Times New Roman"/>
          <w:sz w:val="24"/>
          <w:szCs w:val="24"/>
        </w:rPr>
        <w:t xml:space="preserve"> начнет работать на всей территории РФ. Эту категорию физических лиц принято относить к микро предприятиям. Изучив сложившиеся тенденции и влияние определенных факторов на количество субъектов МСП, к 2025 году ожидается небольшой рост количества субъектов МСП до 33853 ед. </w:t>
      </w:r>
    </w:p>
    <w:p w:rsidR="00AE3DA7" w:rsidRPr="00A4793D" w:rsidRDefault="00A05A80" w:rsidP="00A05A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Текущую оценку финансового самочувствия малого и среднего бизнеса можно обозначить как </w:t>
      </w:r>
      <w:r w:rsidR="00A4793D" w:rsidRPr="002D3887">
        <w:rPr>
          <w:rFonts w:ascii="Times New Roman" w:hAnsi="Times New Roman" w:cs="Times New Roman"/>
          <w:sz w:val="24"/>
          <w:szCs w:val="24"/>
        </w:rPr>
        <w:t>«</w:t>
      </w:r>
      <w:r w:rsidRPr="002D3887">
        <w:rPr>
          <w:rFonts w:ascii="Times New Roman" w:hAnsi="Times New Roman" w:cs="Times New Roman"/>
          <w:sz w:val="24"/>
          <w:szCs w:val="24"/>
        </w:rPr>
        <w:t>позитивную</w:t>
      </w:r>
      <w:r w:rsidR="00A4793D" w:rsidRPr="002D3887">
        <w:rPr>
          <w:rFonts w:ascii="Times New Roman" w:hAnsi="Times New Roman" w:cs="Times New Roman"/>
          <w:sz w:val="24"/>
          <w:szCs w:val="24"/>
        </w:rPr>
        <w:t>»</w:t>
      </w:r>
      <w:r w:rsidRPr="002D3887">
        <w:rPr>
          <w:rFonts w:ascii="Times New Roman" w:hAnsi="Times New Roman" w:cs="Times New Roman"/>
          <w:sz w:val="24"/>
          <w:szCs w:val="24"/>
        </w:rPr>
        <w:t xml:space="preserve"> - большая часть субъектов МСП находятся в устойчивом положении.</w:t>
      </w:r>
    </w:p>
    <w:p w:rsidR="00AE3DA7" w:rsidRPr="00A4793D" w:rsidRDefault="00AE3DA7">
      <w:pPr>
        <w:rPr>
          <w:rFonts w:ascii="Times New Roman" w:hAnsi="Times New Roman" w:cs="Times New Roman"/>
          <w:color w:val="000000"/>
          <w:sz w:val="16"/>
          <w:szCs w:val="16"/>
        </w:rPr>
        <w:sectPr w:rsidR="00AE3DA7" w:rsidRPr="00A4793D" w:rsidSect="00F824DE">
          <w:pgSz w:w="12240" w:h="15840"/>
          <w:pgMar w:top="531" w:right="426" w:bottom="568" w:left="1134" w:header="720" w:footer="720" w:gutter="0"/>
          <w:cols w:space="720"/>
          <w:noEndnote/>
          <w:docGrid w:linePitch="299"/>
        </w:sectPr>
      </w:pPr>
    </w:p>
    <w:p w:rsidR="002412B5" w:rsidRPr="00A4793D" w:rsidRDefault="002412B5" w:rsidP="00E77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Таблица 1</w:t>
      </w:r>
    </w:p>
    <w:p w:rsidR="0058471E" w:rsidRPr="00A4793D" w:rsidRDefault="0058471E" w:rsidP="00E77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7AF" w:rsidRPr="00A4793D" w:rsidRDefault="00E777AF" w:rsidP="00F82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4793D">
        <w:rPr>
          <w:rFonts w:ascii="Times New Roman" w:hAnsi="Times New Roman" w:cs="Times New Roman"/>
          <w:b/>
          <w:sz w:val="20"/>
        </w:rPr>
        <w:t>Показатели цели, задач, мероприятий муниципальной программы</w:t>
      </w:r>
    </w:p>
    <w:p w:rsidR="0058471E" w:rsidRPr="00A4793D" w:rsidRDefault="00A4793D" w:rsidP="00F82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«</w:t>
      </w:r>
      <w:r w:rsidR="00E777AF" w:rsidRPr="00A4793D">
        <w:rPr>
          <w:rFonts w:ascii="Times New Roman" w:hAnsi="Times New Roman" w:cs="Times New Roman"/>
          <w:b/>
          <w:sz w:val="20"/>
        </w:rPr>
        <w:t>Экономическое развитие и инновационная экономика</w:t>
      </w:r>
      <w:r>
        <w:rPr>
          <w:rFonts w:ascii="Times New Roman" w:hAnsi="Times New Roman" w:cs="Times New Roman"/>
          <w:b/>
          <w:sz w:val="20"/>
        </w:rPr>
        <w:t>»</w:t>
      </w:r>
      <w:r w:rsidR="00E777AF" w:rsidRPr="00A4793D">
        <w:rPr>
          <w:rFonts w:ascii="Times New Roman" w:hAnsi="Times New Roman" w:cs="Times New Roman"/>
          <w:b/>
          <w:sz w:val="20"/>
        </w:rPr>
        <w:t xml:space="preserve"> на 2015 - 2025 годы</w:t>
      </w:r>
    </w:p>
    <w:tbl>
      <w:tblPr>
        <w:tblW w:w="14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83"/>
        <w:gridCol w:w="993"/>
        <w:gridCol w:w="942"/>
        <w:gridCol w:w="992"/>
        <w:gridCol w:w="618"/>
        <w:gridCol w:w="70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217130" w:rsidRPr="00A4793D" w:rsidTr="00217130">
        <w:tc>
          <w:tcPr>
            <w:tcW w:w="283" w:type="dxa"/>
            <w:vMerge w:val="restart"/>
            <w:vAlign w:val="center"/>
          </w:tcPr>
          <w:p w:rsidR="00217130" w:rsidRPr="00A4793D" w:rsidRDefault="00A908F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942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992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618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6" w:type="dxa"/>
            <w:gridSpan w:val="2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17130" w:rsidRPr="00A4793D" w:rsidTr="00217130">
        <w:tc>
          <w:tcPr>
            <w:tcW w:w="283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17130" w:rsidRPr="00A4793D" w:rsidTr="00217130">
        <w:tc>
          <w:tcPr>
            <w:tcW w:w="283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7130" w:rsidRPr="00A4793D" w:rsidRDefault="00217130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17130" w:rsidRPr="00A4793D" w:rsidTr="00217130">
        <w:tc>
          <w:tcPr>
            <w:tcW w:w="283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942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Экономический оборот,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 w:val="restart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  <w:tc>
          <w:tcPr>
            <w:tcW w:w="709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74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6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25" w:type="dxa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7796" w:type="dxa"/>
            <w:gridSpan w:val="16"/>
            <w:vAlign w:val="center"/>
          </w:tcPr>
          <w:p w:rsidR="00217130" w:rsidRPr="00A4793D" w:rsidRDefault="0021713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ED6C36" w:rsidRPr="00A4793D" w:rsidTr="00217130">
        <w:tc>
          <w:tcPr>
            <w:tcW w:w="28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(%, 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раз)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7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+20,5 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+20,5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+18,8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+18,8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+23,6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+23,6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+28,6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+28,6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+34,0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+34,0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+39,8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+39,8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+45,8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+45,8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+52,2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+52,2</w:t>
            </w:r>
          </w:p>
        </w:tc>
      </w:tr>
      <w:tr w:rsidR="00ED6C36" w:rsidRPr="00A4793D" w:rsidTr="00217130">
        <w:tc>
          <w:tcPr>
            <w:tcW w:w="28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7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74/-4 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74/-4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66,9/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-16,2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66,9/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-16,2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71,1/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-13,3 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71,1/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-13,3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76,1/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76,1/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-10,4 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81,3/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-7,4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81,3/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-7,4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87,1/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-4,2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87,1/</w:t>
            </w:r>
          </w:p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-4,2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93,1/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93,1/</w:t>
            </w:r>
          </w:p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99,8/</w:t>
            </w:r>
          </w:p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+2,6 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99,8/</w:t>
            </w:r>
          </w:p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+2,6 </w:t>
            </w:r>
          </w:p>
        </w:tc>
      </w:tr>
      <w:tr w:rsidR="00ED6C36" w:rsidRPr="00A4793D" w:rsidTr="00217130">
        <w:tc>
          <w:tcPr>
            <w:tcW w:w="28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отчетность (бюджет муниципального образования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Город 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8" w:type="dxa"/>
            <w:vMerge w:val="restart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209" w:type="dxa"/>
            <w:gridSpan w:val="7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2633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2633</w:t>
            </w:r>
          </w:p>
        </w:tc>
      </w:tr>
      <w:tr w:rsidR="00ED6C36" w:rsidRPr="00A4793D" w:rsidTr="00217130">
        <w:tc>
          <w:tcPr>
            <w:tcW w:w="283" w:type="dxa"/>
            <w:vMerge/>
            <w:tcBorders>
              <w:bottom w:val="nil"/>
            </w:tcBorders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Доля инновационных товаров, работ и услуг 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общем объеме отгруженных товаров, работ и услуг, %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 (с учетом официальных статистическ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сведений)</w:t>
            </w:r>
          </w:p>
        </w:tc>
        <w:tc>
          <w:tcPr>
            <w:tcW w:w="618" w:type="dxa"/>
            <w:vMerge/>
            <w:tcBorders>
              <w:bottom w:val="nil"/>
            </w:tcBorders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ED6C36" w:rsidRPr="00A4793D" w:rsidTr="00217130">
        <w:tc>
          <w:tcPr>
            <w:tcW w:w="283" w:type="dxa"/>
            <w:vMerge w:val="restart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993" w:type="dxa"/>
            <w:vMerge w:val="restart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 w:val="restart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561,2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561,2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561,6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561,6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</w:tr>
      <w:tr w:rsidR="00ED6C36" w:rsidRPr="00A4793D" w:rsidTr="00217130">
        <w:tc>
          <w:tcPr>
            <w:tcW w:w="28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ED6C36" w:rsidRPr="00A4793D" w:rsidTr="00217130">
        <w:tc>
          <w:tcPr>
            <w:tcW w:w="28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gridSpan w:val="7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</w:tr>
      <w:tr w:rsidR="00ED6C36" w:rsidRPr="00A4793D" w:rsidTr="00217130">
        <w:tc>
          <w:tcPr>
            <w:tcW w:w="283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gridSpan w:val="2"/>
          </w:tcPr>
          <w:p w:rsidR="00ED6C36" w:rsidRPr="00A4793D" w:rsidRDefault="000A62AC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717" w:history="1">
              <w:r w:rsidR="00ED6C36"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ED6C36"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D6C36" w:rsidRPr="00A4793D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C36" w:rsidRPr="00A4793D" w:rsidTr="00217130">
        <w:tc>
          <w:tcPr>
            <w:tcW w:w="283" w:type="dxa"/>
            <w:vMerge w:val="restart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93" w:type="dxa"/>
            <w:vMerge w:val="restart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 w:val="restart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ED6C36" w:rsidRPr="00A4793D" w:rsidTr="00217130">
        <w:tc>
          <w:tcPr>
            <w:tcW w:w="28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18" w:type="dxa"/>
            <w:vMerge/>
          </w:tcPr>
          <w:p w:rsidR="00ED6C36" w:rsidRPr="00A4793D" w:rsidRDefault="00ED6C36" w:rsidP="007C5E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567" w:type="dxa"/>
            <w:vAlign w:val="center"/>
          </w:tcPr>
          <w:p w:rsidR="00ED6C36" w:rsidRPr="00A4793D" w:rsidRDefault="00ED6C3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ED6C36" w:rsidRPr="00A4793D" w:rsidTr="00217130">
        <w:tc>
          <w:tcPr>
            <w:tcW w:w="283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gridSpan w:val="2"/>
          </w:tcPr>
          <w:p w:rsidR="00ED6C36" w:rsidRPr="00A4793D" w:rsidRDefault="000A62AC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145" w:history="1">
              <w:r w:rsidR="00ED6C36"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="00ED6C36"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D6C36"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инновационной деятельности субъектов малого и среднего </w:t>
            </w:r>
            <w:r w:rsidR="00ED6C36"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C36" w:rsidRPr="00A4793D" w:rsidTr="00217130">
        <w:tc>
          <w:tcPr>
            <w:tcW w:w="283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993" w:type="dxa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</w:t>
            </w:r>
          </w:p>
        </w:tc>
        <w:tc>
          <w:tcPr>
            <w:tcW w:w="94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18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796" w:type="dxa"/>
            <w:gridSpan w:val="16"/>
            <w:vAlign w:val="center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ED6C36" w:rsidRPr="00A4793D" w:rsidTr="00217130">
        <w:tc>
          <w:tcPr>
            <w:tcW w:w="283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gridSpan w:val="2"/>
          </w:tcPr>
          <w:p w:rsidR="00ED6C36" w:rsidRPr="00A4793D" w:rsidRDefault="00ED6C36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Обеспечивающая </w:t>
            </w:r>
            <w:hyperlink w:anchor="P865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</w:t>
              </w:r>
            </w:hyperlink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эффективной экономической политики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(утрачивает силу с 01.01.2018)</w:t>
            </w:r>
          </w:p>
        </w:tc>
        <w:tc>
          <w:tcPr>
            <w:tcW w:w="992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C36" w:rsidRPr="00A4793D" w:rsidRDefault="00ED6C36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471E" w:rsidRPr="00A4793D" w:rsidRDefault="0058471E" w:rsidP="00F824DE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8471E" w:rsidRPr="00A4793D" w:rsidRDefault="0058471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441667" w:rsidRPr="00305C1B" w:rsidRDefault="00305C1B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Таблица 2</w:t>
      </w:r>
    </w:p>
    <w:p w:rsidR="00441667" w:rsidRPr="00A4793D" w:rsidRDefault="00441667" w:rsidP="004416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4793D">
        <w:rPr>
          <w:rFonts w:ascii="Times New Roman" w:hAnsi="Times New Roman" w:cs="Times New Roman"/>
          <w:b/>
          <w:sz w:val="20"/>
        </w:rPr>
        <w:t xml:space="preserve">Ресурсное обеспечение муниципальной программы </w:t>
      </w:r>
      <w:r w:rsidR="00A4793D">
        <w:rPr>
          <w:rFonts w:ascii="Times New Roman" w:hAnsi="Times New Roman" w:cs="Times New Roman"/>
          <w:b/>
          <w:sz w:val="20"/>
        </w:rPr>
        <w:t>«</w:t>
      </w:r>
      <w:r w:rsidRPr="00A4793D">
        <w:rPr>
          <w:rFonts w:ascii="Times New Roman" w:hAnsi="Times New Roman" w:cs="Times New Roman"/>
          <w:b/>
          <w:sz w:val="20"/>
        </w:rPr>
        <w:t>Экономическое</w:t>
      </w:r>
    </w:p>
    <w:p w:rsidR="00441667" w:rsidRPr="00A4793D" w:rsidRDefault="00441667" w:rsidP="004416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4793D">
        <w:rPr>
          <w:rFonts w:ascii="Times New Roman" w:hAnsi="Times New Roman" w:cs="Times New Roman"/>
          <w:b/>
          <w:sz w:val="20"/>
        </w:rPr>
        <w:t>развитие и инновационная экономика</w:t>
      </w:r>
      <w:r w:rsidR="00A4793D">
        <w:rPr>
          <w:rFonts w:ascii="Times New Roman" w:hAnsi="Times New Roman" w:cs="Times New Roman"/>
          <w:b/>
          <w:sz w:val="20"/>
        </w:rPr>
        <w:t>»</w:t>
      </w:r>
      <w:r w:rsidRPr="00A4793D">
        <w:rPr>
          <w:rFonts w:ascii="Times New Roman" w:hAnsi="Times New Roman" w:cs="Times New Roman"/>
          <w:b/>
          <w:sz w:val="20"/>
        </w:rPr>
        <w:t xml:space="preserve"> на 2015 - 2025 годы</w:t>
      </w:r>
    </w:p>
    <w:tbl>
      <w:tblPr>
        <w:tblW w:w="1455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95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  <w:gridCol w:w="1502"/>
      </w:tblGrid>
      <w:tr w:rsidR="00441667" w:rsidRPr="00A4793D" w:rsidTr="00441667">
        <w:tc>
          <w:tcPr>
            <w:tcW w:w="295" w:type="dxa"/>
            <w:vMerge w:val="restart"/>
            <w:vAlign w:val="center"/>
          </w:tcPr>
          <w:p w:rsidR="00441667" w:rsidRPr="00A4793D" w:rsidRDefault="00A908F6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567" w:type="dxa"/>
            <w:vMerge w:val="restart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7512" w:type="dxa"/>
            <w:gridSpan w:val="8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02" w:type="dxa"/>
            <w:vMerge w:val="restart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</w:tr>
      <w:tr w:rsidR="00441667" w:rsidRPr="00A4793D" w:rsidTr="00441667">
        <w:tc>
          <w:tcPr>
            <w:tcW w:w="295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985" w:type="dxa"/>
            <w:gridSpan w:val="2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559" w:type="dxa"/>
            <w:gridSpan w:val="2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502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667" w:rsidRPr="00A4793D" w:rsidTr="00441667">
        <w:tc>
          <w:tcPr>
            <w:tcW w:w="295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850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02" w:type="dxa"/>
            <w:vMerge/>
          </w:tcPr>
          <w:p w:rsidR="00441667" w:rsidRPr="00A4793D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667" w:rsidRPr="00A4793D" w:rsidTr="00441667">
        <w:trPr>
          <w:trHeight w:val="23"/>
        </w:trPr>
        <w:tc>
          <w:tcPr>
            <w:tcW w:w="295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2" w:type="dxa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41667" w:rsidRPr="00A4793D" w:rsidTr="00441667">
        <w:tc>
          <w:tcPr>
            <w:tcW w:w="295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667" w:rsidRPr="00A4793D" w:rsidTr="00441667">
        <w:trPr>
          <w:trHeight w:val="1756"/>
        </w:trPr>
        <w:tc>
          <w:tcPr>
            <w:tcW w:w="295" w:type="dxa"/>
            <w:vAlign w:val="center"/>
          </w:tcPr>
          <w:p w:rsidR="00441667" w:rsidRPr="00A4793D" w:rsidRDefault="00441667" w:rsidP="004416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3" w:type="dxa"/>
            <w:gridSpan w:val="2"/>
          </w:tcPr>
          <w:p w:rsidR="00441667" w:rsidRPr="00A4793D" w:rsidRDefault="00441667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667" w:rsidRPr="00A4793D" w:rsidTr="00441667">
        <w:trPr>
          <w:trHeight w:val="582"/>
        </w:trPr>
        <w:tc>
          <w:tcPr>
            <w:tcW w:w="295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441667" w:rsidRPr="00A4793D" w:rsidRDefault="00441667" w:rsidP="0044166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441667" w:rsidRPr="00A4793D" w:rsidRDefault="00441667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 w:val="restart"/>
            <w:tcBorders>
              <w:bottom w:val="nil"/>
            </w:tcBorders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nil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задаче 1</w:t>
            </w: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740160,6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630132,4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112334,5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87953,1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324110,2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239241,7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 w:val="restart"/>
            <w:tcBorders>
              <w:bottom w:val="nil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153392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11421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56103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79485,5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16555,1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62930,4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blPrEx>
          <w:tblBorders>
            <w:insideH w:val="nil"/>
          </w:tblBorders>
        </w:tblPrEx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5690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93" w:type="dxa"/>
            <w:gridSpan w:val="2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52EA5" w:rsidRPr="00A4793D" w:rsidRDefault="00F52EA5" w:rsidP="0044166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Развитие инновационной деятельности субъектов малого и среднего предпринимательства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 w:val="restart"/>
            <w:tcBorders>
              <w:bottom w:val="nil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nil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задаче 2</w:t>
            </w: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69191,2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41016,6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29269,9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14445,3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23523,6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10173,6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 w:val="restart"/>
            <w:tcBorders>
              <w:bottom w:val="nil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24680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16786,2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7080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2736,2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8570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2948,4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6620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3230,8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8721,2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8451,2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1199,9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929,9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blPrEx>
          <w:tblBorders>
            <w:insideH w:val="nil"/>
          </w:tblBorders>
        </w:tblPrEx>
        <w:tc>
          <w:tcPr>
            <w:tcW w:w="295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nil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693" w:type="dxa"/>
            <w:gridSpan w:val="2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52EA5" w:rsidRPr="00A4793D" w:rsidRDefault="00F52EA5" w:rsidP="0044166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эффективной экономической политики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(утрачивает силу с 01.01.2018)</w:t>
            </w: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 w:val="restart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задаче 3</w:t>
            </w: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2552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2552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52EA5" w:rsidRPr="00A4793D" w:rsidTr="00441667">
        <w:tc>
          <w:tcPr>
            <w:tcW w:w="295" w:type="dxa"/>
            <w:vMerge/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 w:val="restart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811903,8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671149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144156,4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102398,4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347633,8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249415,3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 w:val="restart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28339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164792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58103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11974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A3130E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82685,5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18455,1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64230,4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EA5" w:rsidRPr="00A4793D" w:rsidTr="00441667">
        <w:tblPrEx>
          <w:tblBorders>
            <w:insideH w:val="nil"/>
          </w:tblBorders>
        </w:tblPrEx>
        <w:tc>
          <w:tcPr>
            <w:tcW w:w="2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2EA5" w:rsidRPr="00A4793D" w:rsidRDefault="00F52EA5" w:rsidP="00441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A5" w:rsidRPr="00A4793D" w:rsidRDefault="00F52EA5" w:rsidP="00F5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EA5" w:rsidRPr="00A4793D" w:rsidRDefault="00F52EA5" w:rsidP="00441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667" w:rsidRPr="00A4793D" w:rsidRDefault="0044166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5A1486" w:rsidRPr="002A4E92" w:rsidRDefault="005A1486" w:rsidP="00DA0271">
      <w:pPr>
        <w:spacing w:after="0" w:line="240" w:lineRule="auto"/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099F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A62AC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271"/>
    <w:rsid w:val="00DA0941"/>
    <w:rsid w:val="00DB3295"/>
    <w:rsid w:val="00DD0628"/>
    <w:rsid w:val="00DD2AA8"/>
    <w:rsid w:val="00DE29AD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A7BC190ADAE7B15FAE9C4718EBA2C587CCA32A84D252ECC1BBFF4733BDF69242A2E98E99F4637026F99AB6F3AAC2E1C089FD746D83D6F88DA38gCO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D579-EC09-49B4-BA22-07D2CEFA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</cp:revision>
  <cp:lastPrinted>2020-02-17T03:56:00Z</cp:lastPrinted>
  <dcterms:created xsi:type="dcterms:W3CDTF">2020-03-24T05:43:00Z</dcterms:created>
  <dcterms:modified xsi:type="dcterms:W3CDTF">2020-03-26T05:53:00Z</dcterms:modified>
</cp:coreProperties>
</file>