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C" w:rsidRPr="00B8766B" w:rsidRDefault="003011D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3011DC" w:rsidRPr="00B8766B" w:rsidRDefault="003011DC" w:rsidP="002924FC">
      <w:pPr>
        <w:jc w:val="center"/>
        <w:rPr>
          <w:b/>
        </w:rPr>
      </w:pPr>
    </w:p>
    <w:p w:rsidR="003011DC" w:rsidRDefault="003011DC" w:rsidP="001744B6">
      <w:pPr>
        <w:spacing w:before="40" w:after="40"/>
        <w:jc w:val="center"/>
        <w:rPr>
          <w:b/>
          <w:bCs/>
        </w:rPr>
      </w:pPr>
      <w:bookmarkStart w:id="0" w:name="_Toc446506199"/>
      <w:r w:rsidRPr="00B8766B">
        <w:rPr>
          <w:b/>
          <w:bCs/>
        </w:rPr>
        <w:t>Защита территории от затопления</w:t>
      </w:r>
      <w:bookmarkEnd w:id="0"/>
    </w:p>
    <w:p w:rsidR="003011DC" w:rsidRPr="00B8766B" w:rsidRDefault="003011DC" w:rsidP="00392827">
      <w:pPr>
        <w:pStyle w:val="BodyText"/>
        <w:tabs>
          <w:tab w:val="left" w:pos="0"/>
        </w:tabs>
        <w:ind w:firstLine="709"/>
      </w:pPr>
      <w:r w:rsidRPr="00B8766B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</w:t>
      </w:r>
      <w:r>
        <w:t>Сибирского федерального округа (далее – СФО)</w:t>
      </w:r>
      <w:r w:rsidRPr="00B8766B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</w:p>
    <w:p w:rsidR="003011DC" w:rsidRPr="00B8766B" w:rsidRDefault="003011DC" w:rsidP="00392827">
      <w:pPr>
        <w:pStyle w:val="BodyText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011DC" w:rsidRPr="00B8766B" w:rsidTr="0043526B"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2012 год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2014 год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2017 год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2020 год</w:t>
            </w:r>
          </w:p>
        </w:tc>
        <w:tc>
          <w:tcPr>
            <w:tcW w:w="1368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2025 год</w:t>
            </w:r>
          </w:p>
        </w:tc>
        <w:tc>
          <w:tcPr>
            <w:tcW w:w="1368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2030 год</w:t>
            </w:r>
          </w:p>
        </w:tc>
      </w:tr>
      <w:tr w:rsidR="003011DC" w:rsidRPr="00B8766B" w:rsidTr="0043526B">
        <w:tc>
          <w:tcPr>
            <w:tcW w:w="1367" w:type="dxa"/>
          </w:tcPr>
          <w:p w:rsidR="003011DC" w:rsidRPr="0043526B" w:rsidRDefault="003011DC" w:rsidP="0043526B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43526B">
              <w:rPr>
                <w:szCs w:val="22"/>
                <w:lang w:eastAsia="en-US"/>
              </w:rPr>
              <w:t>Численность постоянного населения на конец года, тыс. чел.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569,5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586,4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601,5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625,7</w:t>
            </w:r>
          </w:p>
        </w:tc>
        <w:tc>
          <w:tcPr>
            <w:tcW w:w="1368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672,4</w:t>
            </w:r>
          </w:p>
        </w:tc>
        <w:tc>
          <w:tcPr>
            <w:tcW w:w="1368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723,1</w:t>
            </w:r>
          </w:p>
        </w:tc>
      </w:tr>
      <w:tr w:rsidR="003011DC" w:rsidRPr="00B8766B" w:rsidTr="0043526B"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295,1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295,1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295,1</w:t>
            </w:r>
          </w:p>
        </w:tc>
        <w:tc>
          <w:tcPr>
            <w:tcW w:w="1367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295,1</w:t>
            </w:r>
          </w:p>
        </w:tc>
        <w:tc>
          <w:tcPr>
            <w:tcW w:w="1368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295,1</w:t>
            </w:r>
          </w:p>
        </w:tc>
        <w:tc>
          <w:tcPr>
            <w:tcW w:w="1368" w:type="dxa"/>
          </w:tcPr>
          <w:p w:rsidR="003011DC" w:rsidRPr="00B8766B" w:rsidRDefault="003011DC" w:rsidP="0043526B">
            <w:pPr>
              <w:pStyle w:val="BodyText"/>
              <w:tabs>
                <w:tab w:val="left" w:pos="0"/>
              </w:tabs>
              <w:rPr>
                <w:lang w:eastAsia="en-US"/>
              </w:rPr>
            </w:pPr>
            <w:r w:rsidRPr="00B8766B">
              <w:rPr>
                <w:lang w:eastAsia="en-US"/>
              </w:rPr>
              <w:t>295,1</w:t>
            </w:r>
          </w:p>
        </w:tc>
      </w:tr>
    </w:tbl>
    <w:p w:rsidR="003011DC" w:rsidRPr="00B8766B" w:rsidRDefault="003011DC" w:rsidP="00392827">
      <w:pPr>
        <w:spacing w:before="40" w:after="40"/>
        <w:ind w:firstLine="709"/>
        <w:jc w:val="both"/>
      </w:pPr>
      <w:r w:rsidRPr="00B8766B">
        <w:t xml:space="preserve">Наиболее близкими к  муниципальному образованию 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Российской Федерации, входящих в </w:t>
      </w:r>
      <w:r>
        <w:t>СФО</w:t>
      </w:r>
      <w:r w:rsidRPr="00B8766B">
        <w:t xml:space="preserve">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</w:t>
      </w:r>
      <w:r>
        <w:t>СФО</w:t>
      </w:r>
      <w:r w:rsidRPr="00B8766B">
        <w:t>.</w:t>
      </w:r>
    </w:p>
    <w:p w:rsidR="003011DC" w:rsidRPr="00B8766B" w:rsidRDefault="003011DC" w:rsidP="002924FC">
      <w:pPr>
        <w:spacing w:before="40" w:after="40"/>
        <w:ind w:firstLine="709"/>
        <w:jc w:val="both"/>
      </w:pPr>
      <w:r w:rsidRPr="00B8766B">
        <w:t>На территории муниципального образования «Город Томск» основны</w:t>
      </w:r>
      <w:r>
        <w:t>ми</w:t>
      </w:r>
      <w:r w:rsidRPr="00B8766B">
        <w:t xml:space="preserve"> объект</w:t>
      </w:r>
      <w:r>
        <w:t>ами</w:t>
      </w:r>
      <w:r w:rsidRPr="00B8766B">
        <w:t>, требующи</w:t>
      </w:r>
      <w:r>
        <w:t>ми проведения</w:t>
      </w:r>
      <w:r w:rsidRPr="00B8766B">
        <w:t xml:space="preserve"> мероприятий </w:t>
      </w:r>
      <w:r>
        <w:t xml:space="preserve">по </w:t>
      </w:r>
      <w:r w:rsidRPr="00B8766B">
        <w:t>инженерной (водной) защит</w:t>
      </w:r>
      <w:r>
        <w:t>е</w:t>
      </w:r>
      <w:r w:rsidRPr="00B8766B">
        <w:t xml:space="preserve"> от </w:t>
      </w:r>
      <w:r>
        <w:t xml:space="preserve">их </w:t>
      </w:r>
      <w:r w:rsidRPr="00B8766B">
        <w:t>подтопления и затопления</w:t>
      </w:r>
      <w:r>
        <w:t>, являются объекты, расположенные на</w:t>
      </w:r>
      <w:r w:rsidRPr="00B8766B">
        <w:t xml:space="preserve"> р. Томь и р. Ушайка.</w:t>
      </w:r>
    </w:p>
    <w:p w:rsidR="003011DC" w:rsidRPr="00B8766B" w:rsidRDefault="003011D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>ского хребта, является правым притоком реки Оби. Длина реки составляет 827км. На своем протяжении пересекает территорию северо-восточных районов Горной Шории, цен</w:t>
      </w:r>
      <w:r w:rsidRPr="00B8766B">
        <w:rPr>
          <w:rStyle w:val="FontStyle17"/>
          <w:sz w:val="24"/>
        </w:rPr>
        <w:softHyphen/>
        <w:t>тральной части Кузнецкой котловины и течет в пределах Западно-Сибирской равнины.</w:t>
      </w:r>
    </w:p>
    <w:p w:rsidR="003011DC" w:rsidRPr="00B8766B" w:rsidRDefault="003011D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3011DC" w:rsidRPr="00B8766B" w:rsidRDefault="003011DC" w:rsidP="002711AB">
      <w:pPr>
        <w:pStyle w:val="Style2"/>
        <w:widowControl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Pr="00B8766B">
        <w:rPr>
          <w:rStyle w:val="FontStyle17"/>
          <w:sz w:val="24"/>
        </w:rPr>
        <w:t xml:space="preserve"> расположено на правом берегу реки, в 70 км выше ее впадения в р. Обь. Зна</w:t>
      </w:r>
      <w:r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Pr="00B8766B">
        <w:rPr>
          <w:rStyle w:val="FontStyle17"/>
          <w:sz w:val="24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3011DC" w:rsidRPr="00B8766B" w:rsidRDefault="003011D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3011DC" w:rsidRPr="00B8766B" w:rsidRDefault="003011D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9"/>
          <w:sz w:val="24"/>
        </w:rPr>
        <w:t xml:space="preserve">Уровенный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3011DC" w:rsidRPr="00B8766B" w:rsidRDefault="003011DC" w:rsidP="002711AB">
      <w:pPr>
        <w:pStyle w:val="Style2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Река Ушайка берет начало на Томь-Яйском междуречье на высоте 242 м в 10 км к востоку от с. Межениновка. Река впадает в Томь на расстоянии 68 км от устья. Водосбор вытянут с востока на запад. Общая длина р.Ушайки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3011DC" w:rsidRPr="00B8766B" w:rsidRDefault="003011D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пос. Степановки долина реки шириной до 200 м пойменная, ящикообразная</w:t>
      </w:r>
      <w:r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3011DC" w:rsidRPr="00B8766B" w:rsidRDefault="003011D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Русло однорукавное, устойчивое, слабоизвилистое. В районе ул. Короленко р. Ушайка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3011DC" w:rsidRPr="00B8766B" w:rsidRDefault="003011D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3011DC" w:rsidRPr="00B8766B" w:rsidRDefault="003011D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По характеру водного режима р.Ушайка относится к рекам с весенним половодьем                          и паводками в теплое время.</w:t>
      </w:r>
    </w:p>
    <w:p w:rsidR="003011DC" w:rsidRPr="00B8766B" w:rsidRDefault="003011D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 xml:space="preserve">дается 1, иногда 2 волны. Вскрывается р.Ушайка на 5-8 (иногда на 10-12) дней раньше Томи. Самый ранний срок вскрытия наблюдался 1 апреля, самый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3011DC" w:rsidRPr="00B8766B" w:rsidRDefault="003011D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и уровни воды. Часто зат</w:t>
      </w:r>
      <w:r>
        <w:rPr>
          <w:rStyle w:val="FontStyle14"/>
          <w:sz w:val="24"/>
        </w:rPr>
        <w:t>апливается пойма. Весной 2010 года</w:t>
      </w:r>
      <w:r w:rsidRPr="00B8766B">
        <w:rPr>
          <w:rStyle w:val="FontStyle14"/>
          <w:sz w:val="24"/>
        </w:rPr>
        <w:t xml:space="preserve"> на участке изысканий наблюдался перелив воды поверх моста.</w:t>
      </w:r>
    </w:p>
    <w:p w:rsidR="003011DC" w:rsidRPr="00B8766B" w:rsidRDefault="003011D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Наивысший уровень 273 см за весь период наблюдений на р. Ушайка у п. Степановка наблюдался 02.05.1984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3011DC" w:rsidRPr="00B8766B" w:rsidRDefault="003011D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3011DC" w:rsidRPr="00B8766B" w:rsidRDefault="003011D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3011DC" w:rsidRPr="00B8766B" w:rsidRDefault="003011D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3011DC" w:rsidRPr="00B8766B" w:rsidRDefault="003011D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3011DC" w:rsidRPr="00B8766B" w:rsidRDefault="003011D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3011DC" w:rsidRPr="00B8766B" w:rsidRDefault="003011DC" w:rsidP="002924FC">
      <w:pPr>
        <w:ind w:firstLine="709"/>
        <w:jc w:val="both"/>
      </w:pPr>
      <w:r w:rsidRPr="00B8766B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3011DC" w:rsidRPr="00B8766B" w:rsidRDefault="003011D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3011DC" w:rsidRPr="00B8766B" w:rsidRDefault="003011DC" w:rsidP="002924FC">
      <w:pPr>
        <w:ind w:firstLine="770"/>
        <w:jc w:val="both"/>
      </w:pPr>
      <w:r w:rsidRPr="00B8766B">
        <w:t>Решение данной задачи позволит обеспечить безопасную эксплуатацию ГТС, расположенных на территории области;</w:t>
      </w:r>
    </w:p>
    <w:p w:rsidR="003011DC" w:rsidRPr="00B8766B" w:rsidRDefault="003011DC" w:rsidP="002924FC">
      <w:pPr>
        <w:ind w:firstLine="770"/>
        <w:jc w:val="both"/>
      </w:pPr>
      <w:r w:rsidRPr="00B8766B">
        <w:t xml:space="preserve">Срок реализации Подпрограммы – 2015 – 2025 годы. </w:t>
      </w:r>
    </w:p>
    <w:p w:rsidR="003011DC" w:rsidRPr="00B8766B" w:rsidRDefault="003011D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Протяженность новых сооружений инженерной защиты и берегоукрепления                               и благоустройства за период реализации Подпрограммы составит 36,72 км.                                         Количество </w:t>
      </w:r>
      <w:r>
        <w:t xml:space="preserve">гидротехнических сооружение (далее – </w:t>
      </w:r>
      <w:r w:rsidRPr="00B8766B">
        <w:t>ГТС</w:t>
      </w:r>
      <w:r>
        <w:t>)</w:t>
      </w:r>
      <w:r w:rsidRPr="00B8766B">
        <w:t>, построенных и приведенных в безопасное техническое состояние, за период реализации Подпрограммы составит 7 единиц.</w:t>
      </w:r>
    </w:p>
    <w:p w:rsidR="003011DC" w:rsidRPr="00B8766B" w:rsidRDefault="003011D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3011DC" w:rsidRPr="00B8766B" w:rsidRDefault="003011DC" w:rsidP="003A29D3">
      <w:pPr>
        <w:ind w:firstLine="709"/>
        <w:jc w:val="both"/>
      </w:pPr>
      <w:r w:rsidRPr="00B8766B">
        <w:t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процедур,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011DC" w:rsidRPr="00B8766B" w:rsidRDefault="003011DC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011DC" w:rsidRPr="00B8766B" w:rsidRDefault="003011DC" w:rsidP="003A29D3">
      <w:pPr>
        <w:ind w:firstLine="709"/>
        <w:jc w:val="both"/>
      </w:pPr>
      <w:r w:rsidRPr="00B8766B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3011DC" w:rsidRPr="00B8766B" w:rsidRDefault="003011DC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011DC" w:rsidRPr="00B8766B" w:rsidRDefault="003011DC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011DC" w:rsidRPr="00B8766B" w:rsidRDefault="003011DC" w:rsidP="003A29D3">
      <w:pPr>
        <w:ind w:firstLine="709"/>
        <w:jc w:val="both"/>
      </w:pPr>
      <w:r w:rsidRPr="00B8766B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3011DC" w:rsidRPr="00B8766B" w:rsidRDefault="003011DC" w:rsidP="002924FC">
      <w:pPr>
        <w:autoSpaceDE w:val="0"/>
        <w:autoSpaceDN w:val="0"/>
        <w:adjustRightInd w:val="0"/>
        <w:ind w:firstLine="770"/>
        <w:jc w:val="both"/>
      </w:pPr>
    </w:p>
    <w:p w:rsidR="003011DC" w:rsidRPr="00B8766B" w:rsidRDefault="003011DC" w:rsidP="002924FC">
      <w:pPr>
        <w:pStyle w:val="BodyTextIndent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3011DC" w:rsidRPr="00B8766B" w:rsidRDefault="003011DC" w:rsidP="002924FC">
      <w:pPr>
        <w:pStyle w:val="Heading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 на 2015-2025 годы».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011DC" w:rsidRDefault="003011DC" w:rsidP="002924FC">
      <w:pPr>
        <w:ind w:firstLine="770"/>
        <w:jc w:val="both"/>
        <w:rPr>
          <w:spacing w:val="-4"/>
        </w:rPr>
      </w:pPr>
      <w:r w:rsidRPr="00B8766B">
        <w:t>Расчеты отдельных показателей задач подпрограммы приведены в приложении 2</w:t>
      </w:r>
      <w:r>
        <w:t xml:space="preserve"> к подпрограмме «</w:t>
      </w:r>
      <w:r w:rsidRPr="00B8766B">
        <w:rPr>
          <w:spacing w:val="-4"/>
        </w:rPr>
        <w:t>Инженерная защита территорий на 2015-2025 годы»</w:t>
      </w:r>
    </w:p>
    <w:p w:rsidR="003011DC" w:rsidRDefault="003011DC" w:rsidP="002924FC">
      <w:pPr>
        <w:ind w:firstLine="770"/>
        <w:jc w:val="both"/>
        <w:rPr>
          <w:spacing w:val="-4"/>
        </w:rPr>
      </w:pPr>
    </w:p>
    <w:p w:rsidR="003011DC" w:rsidRPr="00B8766B" w:rsidRDefault="003011DC" w:rsidP="002924FC">
      <w:pPr>
        <w:pStyle w:val="BodyTextIndent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t>Перечень мероприятий и их экономическое обоснование</w:t>
      </w:r>
    </w:p>
    <w:p w:rsidR="003011DC" w:rsidRPr="00B8766B" w:rsidRDefault="003011DC" w:rsidP="002924FC">
      <w:pPr>
        <w:pStyle w:val="BodyTextIndent2"/>
        <w:suppressAutoHyphens/>
        <w:spacing w:after="0" w:line="240" w:lineRule="auto"/>
        <w:ind w:left="0" w:firstLine="540"/>
        <w:jc w:val="both"/>
        <w:rPr>
          <w:b/>
        </w:rPr>
      </w:pPr>
    </w:p>
    <w:p w:rsidR="003011DC" w:rsidRPr="00775DE1" w:rsidRDefault="003011DC" w:rsidP="00A3472D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3011DC" w:rsidRPr="00B8766B" w:rsidRDefault="003011DC" w:rsidP="002924FC">
      <w:pPr>
        <w:ind w:firstLine="600"/>
        <w:jc w:val="both"/>
      </w:pP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3011DC" w:rsidRPr="00B8766B" w:rsidRDefault="003011DC" w:rsidP="00203D29">
      <w:pPr>
        <w:ind w:firstLine="715"/>
        <w:jc w:val="both"/>
      </w:pPr>
      <w:r w:rsidRPr="00B8766B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3011DC" w:rsidRPr="00B8766B" w:rsidRDefault="003011DC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3011DC" w:rsidRPr="00B8766B" w:rsidRDefault="003011DC" w:rsidP="00203D29">
      <w:pPr>
        <w:ind w:firstLine="715"/>
        <w:jc w:val="both"/>
      </w:pPr>
      <w:r w:rsidRPr="00B8766B">
        <w:t xml:space="preserve">1) </w:t>
      </w:r>
      <w:r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>
        <w:t>зработке проектной документации;</w:t>
      </w:r>
    </w:p>
    <w:p w:rsidR="003011DC" w:rsidRPr="00B8766B" w:rsidRDefault="003011DC" w:rsidP="00203D29">
      <w:pPr>
        <w:ind w:firstLine="715"/>
        <w:jc w:val="both"/>
      </w:pPr>
      <w:r>
        <w:t>2) с</w:t>
      </w:r>
      <w:r w:rsidRPr="00B8766B">
        <w:t>тоимость по выполнению строительно-монтажных работ по объектам,</w:t>
      </w:r>
      <w:r>
        <w:t xml:space="preserve"> по которым отсутствует проектн</w:t>
      </w:r>
      <w:r w:rsidRPr="00B8766B">
        <w:t>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3011DC" w:rsidRPr="00B8766B" w:rsidRDefault="003011DC" w:rsidP="00203D29">
      <w:pPr>
        <w:ind w:firstLine="600"/>
        <w:jc w:val="both"/>
      </w:pPr>
      <w:r w:rsidRPr="00B8766B">
        <w:rPr>
          <w:bCs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</w:t>
      </w:r>
      <w:r w:rsidRPr="00B8766B">
        <w:t>администрации Города Томска</w:t>
      </w:r>
      <w:r w:rsidRPr="00B8766B">
        <w:rPr>
          <w:lang w:eastAsia="en-US"/>
        </w:rPr>
        <w:t xml:space="preserve">, департамента городского хозяйства </w:t>
      </w:r>
      <w:r w:rsidRPr="00B8766B">
        <w:t xml:space="preserve">администрации Города Томска </w:t>
      </w:r>
      <w:r w:rsidRPr="00B8766B">
        <w:rPr>
          <w:lang w:eastAsia="en-US"/>
        </w:rPr>
        <w:t xml:space="preserve">и департамента управления муниципальной собственностью </w:t>
      </w:r>
      <w:r w:rsidRPr="00B8766B">
        <w:t>администрации Города Томска</w:t>
      </w:r>
      <w:r w:rsidRPr="00B8766B">
        <w:rPr>
          <w:lang w:eastAsia="en-US"/>
        </w:rPr>
        <w:t>.</w:t>
      </w:r>
    </w:p>
    <w:p w:rsidR="003011DC" w:rsidRPr="00B8766B" w:rsidRDefault="003011D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3011DC" w:rsidRPr="00B8766B" w:rsidRDefault="003011D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3011DC" w:rsidRPr="00B8766B" w:rsidRDefault="003011DC" w:rsidP="00BD6520">
      <w:pPr>
        <w:suppressAutoHyphens/>
        <w:ind w:firstLine="709"/>
        <w:jc w:val="both"/>
      </w:pPr>
      <w:r w:rsidRPr="00B8766B">
        <w:t xml:space="preserve">Привлечение средств областного </w:t>
      </w:r>
      <w:r w:rsidRPr="00CA0BD8">
        <w:t>бюджета осуществляется в соответствии с постановлением Администрации Томской области от 05.09.2019 № 313а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</w:t>
      </w:r>
      <w:r w:rsidRPr="00B8766B">
        <w:t xml:space="preserve"> курирующим данное направление Министерством.</w:t>
      </w:r>
    </w:p>
    <w:p w:rsidR="003011DC" w:rsidRPr="00B8766B" w:rsidRDefault="003011DC" w:rsidP="00891D11">
      <w:pPr>
        <w:suppressAutoHyphens/>
        <w:ind w:firstLine="540"/>
        <w:jc w:val="both"/>
      </w:pPr>
      <w:r w:rsidRPr="00B8766B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муниципального образования «Город Томск».</w:t>
      </w:r>
    </w:p>
    <w:p w:rsidR="003011DC" w:rsidRDefault="003011DC" w:rsidP="002924FC">
      <w:pPr>
        <w:ind w:firstLine="600"/>
        <w:jc w:val="both"/>
      </w:pPr>
    </w:p>
    <w:p w:rsidR="003011DC" w:rsidRPr="00B8766B" w:rsidRDefault="003011DC" w:rsidP="002924FC">
      <w:pPr>
        <w:pStyle w:val="BodyTextIndent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</w:p>
    <w:p w:rsidR="003011DC" w:rsidRPr="00B8766B" w:rsidRDefault="003011DC" w:rsidP="002924FC">
      <w:pPr>
        <w:jc w:val="center"/>
        <w:rPr>
          <w:b/>
        </w:rPr>
      </w:pPr>
    </w:p>
    <w:p w:rsidR="003011DC" w:rsidRPr="00B8766B" w:rsidRDefault="003011DC" w:rsidP="002924FC">
      <w:pPr>
        <w:ind w:firstLine="851"/>
        <w:jc w:val="both"/>
      </w:pPr>
      <w:r>
        <w:t>В ходе реализации П</w:t>
      </w:r>
      <w:r w:rsidRPr="00B8766B">
        <w:t xml:space="preserve">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3011DC" w:rsidRPr="00B8766B" w:rsidRDefault="003011DC" w:rsidP="002924FC">
      <w:pPr>
        <w:ind w:firstLine="851"/>
        <w:jc w:val="both"/>
        <w:rPr>
          <w:spacing w:val="-4"/>
        </w:rPr>
      </w:pPr>
      <w:r>
        <w:rPr>
          <w:spacing w:val="-4"/>
        </w:rPr>
        <w:t>Для достижения П</w:t>
      </w:r>
      <w:r w:rsidRPr="00B8766B">
        <w:rPr>
          <w:spacing w:val="-4"/>
        </w:rPr>
        <w:t>одпрограммных целей предполагается использовать средства бюджета муниципального образования «Город Томск», бюджета Томской области, а также федерального бюджета в пределах средств, предусмотренных в бюджете муниципального образования «Город Томск»</w:t>
      </w:r>
      <w:r>
        <w:rPr>
          <w:spacing w:val="-4"/>
        </w:rPr>
        <w:t xml:space="preserve"> на финансирование мероприятий П</w:t>
      </w:r>
      <w:r w:rsidRPr="00B8766B">
        <w:rPr>
          <w:spacing w:val="-4"/>
        </w:rPr>
        <w:t>одпрограммы в соответствующем финансовом году.</w:t>
      </w:r>
    </w:p>
    <w:p w:rsidR="003011DC" w:rsidRPr="00B8766B" w:rsidRDefault="003011DC" w:rsidP="005D0270">
      <w:pPr>
        <w:adjustRightInd w:val="0"/>
        <w:ind w:firstLine="851"/>
        <w:jc w:val="both"/>
        <w:outlineLvl w:val="1"/>
      </w:pPr>
      <w:r w:rsidRPr="00B8766B">
        <w:t>Монитор</w:t>
      </w:r>
      <w:r>
        <w:t>инг и контроль хода реализации П</w:t>
      </w:r>
      <w:r w:rsidRPr="00B8766B">
        <w:t>одпрограммы осуществляет департамент городского хозяйства администрации Города Томска.</w:t>
      </w:r>
    </w:p>
    <w:p w:rsidR="003011DC" w:rsidRPr="00B8766B" w:rsidRDefault="003011DC" w:rsidP="00404EA6">
      <w:pPr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011DC" w:rsidRPr="00B8766B" w:rsidRDefault="003011DC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</w:t>
      </w:r>
      <w:r>
        <w:t>ения внесения изменений в П</w:t>
      </w:r>
      <w:r w:rsidRPr="00B8766B">
        <w:t>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3011DC" w:rsidRPr="00B8766B" w:rsidRDefault="003011DC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</w:t>
      </w:r>
      <w:r>
        <w:t>и П</w:t>
      </w:r>
      <w:r w:rsidRPr="00B8766B">
        <w:t>одпрограммы;</w:t>
      </w:r>
    </w:p>
    <w:p w:rsidR="003011DC" w:rsidRPr="00B8766B" w:rsidRDefault="003011DC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 xml:space="preserve">формирования заявок и предложений </w:t>
      </w:r>
      <w:r>
        <w:t>для обеспечения финансирования П</w:t>
      </w:r>
      <w:r w:rsidRPr="00B8766B">
        <w:t>одпрограммы из бюджета муниципального образования «Город Томск», а также для привлечения софинансирования из иных бюджетных источников.</w:t>
      </w:r>
    </w:p>
    <w:p w:rsidR="003011DC" w:rsidRPr="00B8766B" w:rsidRDefault="003011DC" w:rsidP="00BD6520">
      <w:pPr>
        <w:pStyle w:val="ListParagraph"/>
        <w:adjustRightInd w:val="0"/>
        <w:ind w:left="0" w:firstLine="709"/>
        <w:jc w:val="both"/>
        <w:outlineLvl w:val="1"/>
      </w:pPr>
      <w:r w:rsidRPr="00B8766B">
        <w:t>Привлечение средств бюджета Томской области с цель</w:t>
      </w:r>
      <w:r>
        <w:t>ю софинансирования мероприятий П</w:t>
      </w:r>
      <w:r w:rsidRPr="00B8766B">
        <w:t>одпрограммы осуществляется в рамках реализации государственной программы «Воспроизводство и использование природных ресурсов Томской области»</w:t>
      </w:r>
      <w:r>
        <w:t xml:space="preserve">, </w:t>
      </w:r>
      <w:r w:rsidRPr="00B8766B">
        <w:t>утвержден</w:t>
      </w:r>
      <w:r>
        <w:t>ной</w:t>
      </w:r>
      <w:r w:rsidRPr="00B8766B">
        <w:t xml:space="preserve"> постановлением Администрации Томской области от 02.12.2014 № 448а</w:t>
      </w:r>
      <w:r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</w:p>
    <w:p w:rsidR="003011DC" w:rsidRPr="00B8766B" w:rsidRDefault="003011DC" w:rsidP="00BD6520">
      <w:pPr>
        <w:ind w:firstLine="709"/>
        <w:jc w:val="both"/>
      </w:pPr>
      <w:r>
        <w:t>Реализация П</w:t>
      </w:r>
      <w:r w:rsidRPr="00B8766B">
        <w:t>одпрограммы планируется в течение 2015 – 2025 годов путем заключения контрактов, гражданских договоров и иных форм, предусмотренных бюджетным законодательством.</w:t>
      </w:r>
    </w:p>
    <w:p w:rsidR="003011DC" w:rsidRPr="00B8766B" w:rsidRDefault="003011DC" w:rsidP="000D6AE6">
      <w:pPr>
        <w:pStyle w:val="ListParagraph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B8766B">
        <w:t xml:space="preserve">Соисполнители </w:t>
      </w:r>
      <w:r>
        <w:t>П</w:t>
      </w:r>
      <w:r w:rsidRPr="00B8766B">
        <w:t xml:space="preserve">одпрограммы предоставляют в адрес департамента городского хозяйства администрации Города Томска предварительные отчеты о реализации мероприятий </w:t>
      </w:r>
      <w:r>
        <w:t>П</w:t>
      </w:r>
      <w:r w:rsidRPr="00B8766B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 в управление экономического развития администрации Города Томска и департамент финансов администрации Города Томска.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Управление экономического развития администрации Города Томска и департамент финансов администрации Города Томска в течение 15 рабочих дней с даты поступления предварительного отчета проводят проверку представленных в отчете данных: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1) управление экономического развития администрации Города Томска на предмет: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№ р1180;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2) департамент финансов администрации Города Томска 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«Город Томск»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и направляют свои замечания в адрес департамента городского хозяйства администрации Города Томска.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Днем получения предварительного отчета считается день его регистрации в управлении экономического развития администрации Города Томска и департаменте финансов администрации Города Томска соответственно.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устраняет замечания управления экономического развития администрации Города Томска и департамента финансов администрации Города Томска, утверждает итоговый отчет приказом департамента городского хозяйства администрации Города Томска и представляет в управление экономического развития администрации Города Томска, департамент финансов администрации Города Томска и в Счетную палату Города Томска в срок до 10 марта года, следующего за отчетным, в бумажном, а также в электронном виде.</w:t>
      </w:r>
    </w:p>
    <w:p w:rsidR="003011DC" w:rsidRPr="00B8766B" w:rsidRDefault="003011DC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несет ответственность за качество, полноту и достоверность данных в предоставленных отчетах.</w:t>
      </w:r>
    </w:p>
    <w:p w:rsidR="003011DC" w:rsidRPr="00B8766B" w:rsidRDefault="003011DC" w:rsidP="002924FC">
      <w:pPr>
        <w:adjustRightInd w:val="0"/>
        <w:ind w:firstLine="851"/>
        <w:jc w:val="both"/>
        <w:outlineLvl w:val="1"/>
      </w:pPr>
      <w:r w:rsidRPr="00B8766B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</w:t>
      </w:r>
      <w:r>
        <w:t>П</w:t>
      </w:r>
      <w:r w:rsidRPr="00B8766B">
        <w:t>одпрограммы по формам и в сроки, установленные действующим законодательством.</w:t>
      </w:r>
    </w:p>
    <w:p w:rsidR="003011DC" w:rsidRPr="00B8766B" w:rsidRDefault="003011DC" w:rsidP="002924FC">
      <w:pPr>
        <w:suppressAutoHyphens/>
        <w:adjustRightInd w:val="0"/>
        <w:ind w:firstLine="851"/>
        <w:jc w:val="both"/>
      </w:pPr>
      <w:r w:rsidRPr="00B8766B">
        <w:t xml:space="preserve">Реализация </w:t>
      </w:r>
      <w:r>
        <w:t>П</w:t>
      </w:r>
      <w:r w:rsidRPr="00B8766B">
        <w:t>одпрограммы освещается в средствах массовой информации.</w:t>
      </w:r>
    </w:p>
    <w:p w:rsidR="003011DC" w:rsidRPr="00B8766B" w:rsidRDefault="003011DC" w:rsidP="002924FC">
      <w:pPr>
        <w:suppressAutoHyphens/>
        <w:adjustRightInd w:val="0"/>
      </w:pPr>
    </w:p>
    <w:p w:rsidR="003011DC" w:rsidRPr="00B8766B" w:rsidRDefault="003011DC"/>
    <w:sectPr w:rsidR="003011D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4FC"/>
    <w:rsid w:val="0007249B"/>
    <w:rsid w:val="000B6F82"/>
    <w:rsid w:val="000D6AE6"/>
    <w:rsid w:val="0014719C"/>
    <w:rsid w:val="001744B6"/>
    <w:rsid w:val="00193CDE"/>
    <w:rsid w:val="00203D29"/>
    <w:rsid w:val="00234819"/>
    <w:rsid w:val="00236959"/>
    <w:rsid w:val="002711AB"/>
    <w:rsid w:val="00287FB7"/>
    <w:rsid w:val="002924FC"/>
    <w:rsid w:val="002A7295"/>
    <w:rsid w:val="002C09EB"/>
    <w:rsid w:val="002C2D98"/>
    <w:rsid w:val="002D4E0B"/>
    <w:rsid w:val="002D6D9A"/>
    <w:rsid w:val="002E1D9B"/>
    <w:rsid w:val="003011DC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3526B"/>
    <w:rsid w:val="00441DF8"/>
    <w:rsid w:val="00457FF0"/>
    <w:rsid w:val="00461B86"/>
    <w:rsid w:val="004B7501"/>
    <w:rsid w:val="004D0E00"/>
    <w:rsid w:val="00502229"/>
    <w:rsid w:val="00517A9B"/>
    <w:rsid w:val="005D0270"/>
    <w:rsid w:val="00614198"/>
    <w:rsid w:val="00615616"/>
    <w:rsid w:val="006605E2"/>
    <w:rsid w:val="00664069"/>
    <w:rsid w:val="006732E5"/>
    <w:rsid w:val="00686561"/>
    <w:rsid w:val="006960BD"/>
    <w:rsid w:val="006A2157"/>
    <w:rsid w:val="006D6C35"/>
    <w:rsid w:val="00722A8F"/>
    <w:rsid w:val="00763196"/>
    <w:rsid w:val="00771303"/>
    <w:rsid w:val="00775DE1"/>
    <w:rsid w:val="007D144A"/>
    <w:rsid w:val="008004C9"/>
    <w:rsid w:val="00803616"/>
    <w:rsid w:val="0088497B"/>
    <w:rsid w:val="00884BCA"/>
    <w:rsid w:val="00891D11"/>
    <w:rsid w:val="008A6809"/>
    <w:rsid w:val="008B6E88"/>
    <w:rsid w:val="008C0A2B"/>
    <w:rsid w:val="008C1572"/>
    <w:rsid w:val="008C3C8C"/>
    <w:rsid w:val="008D7C9A"/>
    <w:rsid w:val="008F362B"/>
    <w:rsid w:val="009037E3"/>
    <w:rsid w:val="00903F73"/>
    <w:rsid w:val="00937DB8"/>
    <w:rsid w:val="00997CC7"/>
    <w:rsid w:val="009A6C76"/>
    <w:rsid w:val="009B0D53"/>
    <w:rsid w:val="00A241C7"/>
    <w:rsid w:val="00A3472D"/>
    <w:rsid w:val="00A70178"/>
    <w:rsid w:val="00AA1C52"/>
    <w:rsid w:val="00AD3DED"/>
    <w:rsid w:val="00AE081F"/>
    <w:rsid w:val="00AE7096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75100"/>
    <w:rsid w:val="00CA0BD8"/>
    <w:rsid w:val="00CC0403"/>
    <w:rsid w:val="00CC0B83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E6890"/>
    <w:rsid w:val="00E04E00"/>
    <w:rsid w:val="00E12AE1"/>
    <w:rsid w:val="00E3337A"/>
    <w:rsid w:val="00E8269C"/>
    <w:rsid w:val="00E95986"/>
    <w:rsid w:val="00EC01FF"/>
    <w:rsid w:val="00ED41AC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4FC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924F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4F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924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924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DefaultParagraphFont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Normal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ListParagraph">
    <w:name w:val="List Paragraph"/>
    <w:basedOn w:val="Normal"/>
    <w:uiPriority w:val="99"/>
    <w:qFormat/>
    <w:rsid w:val="000D6AE6"/>
    <w:pPr>
      <w:ind w:left="720"/>
      <w:contextualSpacing/>
    </w:pPr>
  </w:style>
  <w:style w:type="table" w:styleId="TableGrid">
    <w:name w:val="Table Grid"/>
    <w:basedOn w:val="TableNormal"/>
    <w:uiPriority w:val="99"/>
    <w:rsid w:val="003928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3018</Words>
  <Characters>17207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indukaev</dc:creator>
  <cp:keywords/>
  <dc:description/>
  <cp:lastModifiedBy>Шавкунова</cp:lastModifiedBy>
  <cp:revision>11</cp:revision>
  <cp:lastPrinted>2021-07-20T06:37:00Z</cp:lastPrinted>
  <dcterms:created xsi:type="dcterms:W3CDTF">2020-12-17T05:00:00Z</dcterms:created>
  <dcterms:modified xsi:type="dcterms:W3CDTF">2022-02-02T09:44:00Z</dcterms:modified>
</cp:coreProperties>
</file>