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r w:rsidR="00A36149" w:rsidRPr="009B59DE">
        <w:t>и</w:t>
      </w:r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>Из 24 муниципальных локальных источников теплоснабжения 12 являются экономически не эффективными: 11 угольных котельных, 1 электрокотельная на подземном водозаборе с. Тимирязевское. Тарифы на тепловую энергию, вырабатываемую указанными котельными, существенно выше тарифов на центральных источниках и на газовых котельных. Так, по состоянию на 01.01.2014, для угольных котельны</w:t>
      </w:r>
      <w:r w:rsidR="00AB59C2">
        <w:t xml:space="preserve">х, обслуживаемых </w:t>
      </w:r>
      <w:r w:rsidRPr="009B59DE">
        <w:t>АО «ТГК-11» утвержденный тариф составляет – 3 387,79 руб./Гкал (с НДС); для электрокотельной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</w:p>
    <w:p w:rsidR="00EC44F0" w:rsidRPr="009B59DE" w:rsidRDefault="00EC44F0" w:rsidP="00EC44F0">
      <w:pPr>
        <w:ind w:firstLine="715"/>
        <w:jc w:val="both"/>
      </w:pPr>
      <w:r w:rsidRPr="009B59DE">
        <w:t>Решением указанных выше проблем является ликвидация экономически не эффективных котельных с переподключением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энергоснабжающих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кВт. час.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на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>- переключение абонентов с ведомственных сетей электроснабжения на сети электроснабжения электросетевых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противопаводковые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Ушайки, на Новособорной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 xml:space="preserve">АО «Томскоблгаз»,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Ушайка.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Шории, центральной части Кузнецкой котловины и течет в пределах Западно-Сибирской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мБС</w:t>
      </w:r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Уровенный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Река Ушайка берет начало на Томь-Яйском междуречье на высоте 242 м в 10 км к востоку от с. Межениновка. Река впадает в Томь на расстоянии 68 км от устья. Водосбор вытянут с востока на запад. Общая длина р.Ушайки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пос. Степановки долина реки шириной до 200 м пойменная, ящикообразная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Русло однорукавное, устойчивое, слабоизвилистое. В районе ул. Короленко р. Ушайка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По характеру водного режима р.Ушайка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р.Ушайка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>Наивысший уровень 273 см за весь период наблюдений на р. Ушайка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ресурсоснабжающими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>Привлечение средств бюджета Томской области с целью софинансирования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E04E64">
        <w:rPr>
          <w:rFonts w:eastAsiaTheme="minorHAnsi"/>
          <w:lang w:eastAsia="en-US"/>
        </w:rPr>
        <w:t>ержденная</w:t>
      </w:r>
      <w:r w:rsidR="0004547E" w:rsidRPr="004F5C1F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0B2C91" w:rsidRPr="004F5C1F">
        <w:t xml:space="preserve">. Порядок и условия привлечения софинансирования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E04E64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софинансирования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E51A2" w:rsidP="00012E62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</w:t>
      </w:r>
      <w:r w:rsidR="00E04E64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Томской области от 27.09.2019 № 343а</w:t>
      </w:r>
      <w:r w:rsidR="00C30BED">
        <w:t>.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ресурсоснабжающих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софинансирования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</w:t>
      </w:r>
      <w:r w:rsidRPr="009B59DE">
        <w:lastRenderedPageBreak/>
        <w:t>Томской области, реализации иных проектов и программ в целях исполнения настоящей Программы.</w:t>
      </w:r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 xml:space="preserve"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lastRenderedPageBreak/>
        <w:t xml:space="preserve">и направляют свои замечания </w:t>
      </w:r>
      <w:r w:rsidR="006C51DE" w:rsidRPr="009B59DE">
        <w:t>в адрес департамента городского хозяйства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 за отчетным,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(Томскстат)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В соответствии с п</w:t>
      </w:r>
      <w:r w:rsidR="00E04E64">
        <w:t>унктом</w:t>
      </w:r>
      <w:r w:rsidRPr="009B59DE">
        <w:t xml:space="preserve">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 xml:space="preserve">проводит оценку эффективности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При расчете фактических значений показателя «Повышение удовлетворённости жителей оказанными услугами электро-, тепло-, газо-,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Томскстатом, в срок до 01 июля года, следующего за отчетным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lastRenderedPageBreak/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ресурсоснабжающим организациям.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414"/>
    <w:rsid w:val="00012E62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95C63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AF64B1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30BED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04E64"/>
    <w:rsid w:val="00E52557"/>
    <w:rsid w:val="00E75FC5"/>
    <w:rsid w:val="00E85A42"/>
    <w:rsid w:val="00E9504E"/>
    <w:rsid w:val="00EB42CE"/>
    <w:rsid w:val="00EB6C58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9E90-D06F-4791-B7A5-20A2398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11</cp:revision>
  <cp:lastPrinted>2021-02-25T04:29:00Z</cp:lastPrinted>
  <dcterms:created xsi:type="dcterms:W3CDTF">2020-12-17T04:54:00Z</dcterms:created>
  <dcterms:modified xsi:type="dcterms:W3CDTF">2021-12-17T02:08:00Z</dcterms:modified>
</cp:coreProperties>
</file>