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B59DE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B59DE">
        <w:t>ОБЩАЯ ХАРАКТЕ</w:t>
      </w:r>
      <w:r w:rsidR="000D7852" w:rsidRPr="009B59DE">
        <w:t>РИСТИКА МУНИЦИПАЛЬНОЙ ПРОГРАММЫ</w:t>
      </w:r>
    </w:p>
    <w:p w:rsidR="00650414" w:rsidRPr="009B59DE" w:rsidRDefault="00650414" w:rsidP="00650414"/>
    <w:p w:rsidR="00650414" w:rsidRPr="009B59DE" w:rsidRDefault="00650414" w:rsidP="00650414">
      <w:pPr>
        <w:ind w:left="-6" w:firstLine="857"/>
        <w:jc w:val="both"/>
      </w:pPr>
      <w:r w:rsidRPr="009B59DE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B59DE" w:rsidRDefault="00650414" w:rsidP="00650414">
      <w:pPr>
        <w:ind w:left="-6" w:firstLine="857"/>
        <w:jc w:val="both"/>
      </w:pPr>
      <w:r w:rsidRPr="009B59DE">
        <w:t xml:space="preserve">В </w:t>
      </w:r>
      <w:r w:rsidR="0090311B" w:rsidRPr="009B59DE">
        <w:t xml:space="preserve">муниципальном образовании «Город Томск» </w:t>
      </w:r>
      <w:r w:rsidRPr="009B59DE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Анализируя текущее состояние инженерной инфраструктуры </w:t>
      </w:r>
      <w:r w:rsidR="0090311B" w:rsidRPr="009B59DE">
        <w:t xml:space="preserve">муниципального образования «Город Томск» </w:t>
      </w:r>
      <w:r w:rsidRPr="009B59DE">
        <w:t xml:space="preserve">по видам ресурсов, можно сделать вывод, что практически все виды инженерных систем </w:t>
      </w:r>
      <w:r w:rsidR="0090311B" w:rsidRPr="009B59DE">
        <w:t>муниципального образования «Город Томск»</w:t>
      </w:r>
      <w:r w:rsidRPr="009B59DE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водоснабжения и водоотведения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Система водоснабжения </w:t>
      </w:r>
      <w:r w:rsidR="0090311B" w:rsidRPr="009B59DE">
        <w:t>муниципального образования «Город Томск»</w:t>
      </w:r>
      <w:r w:rsidRPr="009B59DE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9B59DE">
          <w:t>727,5 км</w:t>
        </w:r>
      </w:smartTag>
      <w:r w:rsidRPr="009B59DE">
        <w:t xml:space="preserve"> сетей водоснабжения, износ которых составляет более 90% и </w:t>
      </w:r>
      <w:smartTag w:uri="urn:schemas-microsoft-com:office:smarttags" w:element="metricconverter">
        <w:smartTagPr>
          <w:attr w:name="ProductID" w:val="495,8 км"/>
        </w:smartTagPr>
        <w:r w:rsidRPr="009B59DE">
          <w:t>495,8 км</w:t>
        </w:r>
      </w:smartTag>
      <w:r w:rsidRPr="009B59DE">
        <w:t xml:space="preserve"> сетей водоотведения, износ которых составляет 70 %.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Основными проблемами работы системы водоснабжения </w:t>
      </w:r>
      <w:r w:rsidR="0090311B" w:rsidRPr="009B59DE">
        <w:t xml:space="preserve">муниципального образования «Город Томск» </w:t>
      </w:r>
      <w:r w:rsidRPr="009B59DE">
        <w:t>являются: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высокий уровень потерь и неучтенных расходов воды при ее транспортировке и реализации потребителям;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- отсутствие сетей центрального водоснабжения в отдельных районах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EC44F0" w:rsidRPr="009B59DE" w:rsidRDefault="00EC44F0" w:rsidP="00EC44F0">
      <w:pPr>
        <w:pStyle w:val="a4"/>
        <w:spacing w:after="0"/>
        <w:ind w:firstLine="715"/>
      </w:pPr>
      <w:proofErr w:type="gramStart"/>
      <w:r w:rsidRPr="009B59DE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ливневой канализации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>, техническая документация имеется в неполном объеме, общий износ городской ливневой канализации оценивается в 68%. В течени</w:t>
      </w:r>
      <w:proofErr w:type="gramStart"/>
      <w:r w:rsidR="00A36149" w:rsidRPr="009B59DE">
        <w:t>и</w:t>
      </w:r>
      <w:proofErr w:type="gramEnd"/>
      <w:r w:rsidRPr="009B59DE">
        <w:t xml:space="preserve">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lastRenderedPageBreak/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</w:t>
      </w:r>
      <w:r w:rsidR="00F559D7" w:rsidRPr="009B59DE">
        <w:t>прог</w:t>
      </w:r>
      <w:r w:rsidRPr="009B59DE">
        <w:t>раммы.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теплоснабжения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ind w:firstLine="715"/>
        <w:jc w:val="both"/>
      </w:pPr>
      <w:r w:rsidRPr="009B59DE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9B59DE">
        <w:t>электрокотельная</w:t>
      </w:r>
      <w:proofErr w:type="spellEnd"/>
      <w:r w:rsidRPr="009B59DE">
        <w:t xml:space="preserve"> на подземном водозаборе с. </w:t>
      </w:r>
      <w:proofErr w:type="spellStart"/>
      <w:r w:rsidRPr="009B59DE">
        <w:t>Тимирязевское</w:t>
      </w:r>
      <w:proofErr w:type="spellEnd"/>
      <w:r w:rsidRPr="009B59DE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9B59DE">
        <w:t>Так, по состоянию на 01.01.2014, для угольных котельны</w:t>
      </w:r>
      <w:r w:rsidR="00AB59C2">
        <w:t xml:space="preserve">х, обслуживаемых </w:t>
      </w:r>
      <w:r w:rsidRPr="009B59DE">
        <w:t xml:space="preserve">АО «ТГК-11» утвержденный тариф составляет – 3 387,79 руб./Гкал (с НДС); для </w:t>
      </w:r>
      <w:proofErr w:type="spellStart"/>
      <w:r w:rsidRPr="009B59DE">
        <w:t>электрокотельной</w:t>
      </w:r>
      <w:proofErr w:type="spellEnd"/>
      <w:r w:rsidRPr="009B59DE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</w:t>
      </w:r>
      <w:r w:rsidR="00AB59C2">
        <w:t xml:space="preserve">в теплоснабжения </w:t>
      </w:r>
      <w:r w:rsidRPr="009B59DE">
        <w:t>АО «ТГК-11» составляет 1 212,41 руб./Гкал (с НДС).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9B59DE">
        <w:t>жения, за счёт средств бюджета муниципального образования</w:t>
      </w:r>
      <w:r w:rsidRPr="009B59DE">
        <w:t xml:space="preserve"> «Город Томск» составила 14,049 млн. руб.</w:t>
      </w:r>
    </w:p>
    <w:p w:rsidR="00EC44F0" w:rsidRPr="009B59DE" w:rsidRDefault="00EC44F0" w:rsidP="00EC44F0">
      <w:pPr>
        <w:ind w:firstLine="715"/>
        <w:jc w:val="both"/>
      </w:pPr>
      <w:proofErr w:type="gramStart"/>
      <w:r w:rsidRPr="009B59DE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9B59DE">
        <w:t>переподключением</w:t>
      </w:r>
      <w:proofErr w:type="spellEnd"/>
      <w:r w:rsidRPr="009B59DE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Помимо функционирования в </w:t>
      </w:r>
      <w:r w:rsidR="0090311B" w:rsidRPr="009B59DE">
        <w:t xml:space="preserve">муниципальном образовании «Город Томск» </w:t>
      </w:r>
      <w:r w:rsidRPr="009B59DE">
        <w:t xml:space="preserve">экономически неэффективных котельных, существует проблема отказа некоторых </w:t>
      </w:r>
      <w:proofErr w:type="spellStart"/>
      <w:r w:rsidRPr="009B59DE">
        <w:t>энергоснабжающих</w:t>
      </w:r>
      <w:proofErr w:type="spellEnd"/>
      <w:r w:rsidRPr="009B59DE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электроснабжения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pStyle w:val="a4"/>
        <w:spacing w:after="0"/>
        <w:ind w:left="-6" w:firstLine="715"/>
      </w:pPr>
      <w:r w:rsidRPr="009B59DE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9B59DE">
          <w:t>2 143 км</w:t>
        </w:r>
      </w:smartTag>
      <w:r w:rsidRPr="009B59DE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9B59DE">
          <w:t>1 520 км</w:t>
        </w:r>
      </w:smartTag>
      <w:r w:rsidRPr="009B59DE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9B59DE">
        <w:t>.</w:t>
      </w:r>
      <w:proofErr w:type="gramEnd"/>
      <w:r w:rsidRPr="009B59DE">
        <w:t xml:space="preserve"> </w:t>
      </w:r>
      <w:proofErr w:type="gramStart"/>
      <w:r w:rsidRPr="009B59DE">
        <w:t>ч</w:t>
      </w:r>
      <w:proofErr w:type="gramEnd"/>
      <w:r w:rsidRPr="009B59DE">
        <w:t>ас. Количество аварий и повреждений на электрических сетях – 393</w:t>
      </w:r>
      <w:r w:rsidR="00AE693D" w:rsidRPr="009B59DE">
        <w:t xml:space="preserve"> </w:t>
      </w:r>
      <w:r w:rsidRPr="009B59DE">
        <w:t xml:space="preserve">шт. Тем не менее, в сфере электроснабжения </w:t>
      </w:r>
      <w:r w:rsidRPr="009B59DE">
        <w:lastRenderedPageBreak/>
        <w:t>муниципального образования «Город Томск» существуют проблемы, требующие решения:</w:t>
      </w:r>
    </w:p>
    <w:p w:rsidR="00EC44F0" w:rsidRPr="009B59DE" w:rsidRDefault="00EC44F0" w:rsidP="00EC44F0">
      <w:pPr>
        <w:ind w:firstLine="715"/>
        <w:jc w:val="both"/>
      </w:pPr>
      <w:r w:rsidRPr="009B59DE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9B59DE">
        <w:t xml:space="preserve"> газовых плит </w:t>
      </w:r>
      <w:proofErr w:type="gramStart"/>
      <w:r w:rsidR="00DA0A75" w:rsidRPr="009B59DE">
        <w:t>на</w:t>
      </w:r>
      <w:proofErr w:type="gramEnd"/>
      <w:r w:rsidR="00DA0A75" w:rsidRPr="009B59DE">
        <w:t xml:space="preserve"> электрические;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9B59DE">
        <w:t>электросетевых</w:t>
      </w:r>
      <w:proofErr w:type="spellEnd"/>
      <w:r w:rsidRPr="009B59DE">
        <w:t xml:space="preserve"> компаний.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С целью улучшения качества жизни жителей </w:t>
      </w:r>
      <w:r w:rsidR="0090311B" w:rsidRPr="009B59DE">
        <w:t xml:space="preserve">муниципального образования «Город Томск» </w:t>
      </w:r>
      <w:r w:rsidR="003201CF">
        <w:t>была разработана С</w:t>
      </w:r>
      <w:r w:rsidRPr="009B59DE">
        <w:t>тратегия социально-экономического развития муниципального образования «Город Томск» до 2030 года</w:t>
      </w:r>
      <w:r w:rsidR="003201CF">
        <w:t xml:space="preserve">, </w:t>
      </w:r>
      <w:r w:rsidR="003201CF" w:rsidRPr="003201CF">
        <w:t>утв</w:t>
      </w:r>
      <w:r w:rsidR="003201CF">
        <w:t>ержденная</w:t>
      </w:r>
      <w:r w:rsidR="003201CF" w:rsidRPr="003201CF">
        <w:t xml:space="preserve"> решением Думы Города Томска от 27.06.2006 №</w:t>
      </w:r>
      <w:r w:rsidR="003201CF">
        <w:t xml:space="preserve"> </w:t>
      </w:r>
      <w:r w:rsidR="003201CF" w:rsidRPr="003201CF">
        <w:t>224</w:t>
      </w:r>
      <w:r w:rsidRPr="009B59DE">
        <w:t xml:space="preserve">. Ее цели и задачи в части развития систем инженерно-технического обеспечения </w:t>
      </w:r>
      <w:r w:rsidR="0090311B" w:rsidRPr="009B59DE">
        <w:t xml:space="preserve">муниципального образования «Город Томск» </w:t>
      </w:r>
      <w:r w:rsidRPr="009B59DE">
        <w:t>легли в основу утверждаемой на период 2015-</w:t>
      </w:r>
      <w:r w:rsidR="00155D64" w:rsidRPr="009B59DE">
        <w:t>2025</w:t>
      </w:r>
      <w:r w:rsidRPr="009B59DE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9B59DE">
        <w:t xml:space="preserve"> на 2015-</w:t>
      </w:r>
      <w:r w:rsidR="00155D64" w:rsidRPr="009B59DE">
        <w:t>2025</w:t>
      </w:r>
      <w:r w:rsidR="00D74F6A" w:rsidRPr="009B59DE">
        <w:t xml:space="preserve"> годы</w:t>
      </w:r>
      <w:r w:rsidRPr="009B59DE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9B59DE">
        <w:t xml:space="preserve">муниципального образования «Город Томск» </w:t>
      </w:r>
      <w:r w:rsidRPr="009B59DE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B59DE">
        <w:rPr>
          <w:i/>
        </w:rPr>
        <w:t xml:space="preserve">, </w:t>
      </w:r>
      <w:r w:rsidRPr="009B59DE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9B59DE">
        <w:t>муниципального образования «Город Томск»</w:t>
      </w:r>
      <w:r w:rsidRPr="009B59DE">
        <w:t>. Показатели цели и задач мероприятий программы приведены в приложении 1</w:t>
      </w:r>
      <w:r w:rsidR="00985F34">
        <w:t xml:space="preserve"> к Программе</w:t>
      </w:r>
      <w:r w:rsidRPr="009B59DE">
        <w:t xml:space="preserve">. </w:t>
      </w:r>
      <w:r w:rsidR="008E70AA" w:rsidRPr="009B59DE">
        <w:t>Ресурсное обеспечение муниципальной программы</w:t>
      </w:r>
      <w:r w:rsidRPr="009B59DE">
        <w:t xml:space="preserve"> с указанием объема финансирования </w:t>
      </w:r>
      <w:r w:rsidR="008E70AA" w:rsidRPr="009B59DE">
        <w:t>отражено</w:t>
      </w:r>
      <w:r w:rsidRPr="009B59DE">
        <w:t xml:space="preserve"> в приложении 2</w:t>
      </w:r>
      <w:r w:rsidR="00985F34">
        <w:t xml:space="preserve"> к Программе</w:t>
      </w:r>
      <w:r w:rsidRPr="009B59DE">
        <w:t>.</w:t>
      </w:r>
    </w:p>
    <w:p w:rsidR="002B58BD" w:rsidRPr="009B59DE" w:rsidRDefault="002B58BD" w:rsidP="002B58BD">
      <w:pPr>
        <w:pStyle w:val="a4"/>
        <w:tabs>
          <w:tab w:val="left" w:pos="0"/>
        </w:tabs>
        <w:spacing w:after="0"/>
      </w:pPr>
      <w:proofErr w:type="gramStart"/>
      <w:r w:rsidRPr="009B59DE">
        <w:t>Для целей сопоставления показателей развитости си</w:t>
      </w:r>
      <w:r w:rsidR="00271E2C" w:rsidRPr="009B59DE">
        <w:t>стем инженерной инфраструктуры муниципального образования</w:t>
      </w:r>
      <w:r w:rsidRPr="009B59DE">
        <w:t xml:space="preserve"> «Город Томск» с другими областными центрами субъектов Р</w:t>
      </w:r>
      <w:r w:rsidR="00271E2C" w:rsidRPr="009B59DE">
        <w:t xml:space="preserve">оссийской </w:t>
      </w:r>
      <w:r w:rsidRPr="009B59DE">
        <w:t>Ф</w:t>
      </w:r>
      <w:r w:rsidR="00271E2C" w:rsidRPr="009B59DE">
        <w:t>едерации</w:t>
      </w:r>
      <w:r w:rsidRPr="009B59DE">
        <w:t xml:space="preserve"> </w:t>
      </w:r>
      <w:r w:rsidR="00BA7C81" w:rsidRPr="009B59DE">
        <w:t>Сибирского федерального округа (далее – СФО)</w:t>
      </w:r>
      <w:r w:rsidRPr="009B59DE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9B59DE">
        <w:t>ниям вышеназванных критериев к муниципальному образованию</w:t>
      </w:r>
      <w:r w:rsidRPr="009B59DE">
        <w:t xml:space="preserve"> «Город Томск». </w:t>
      </w:r>
      <w:proofErr w:type="gramEnd"/>
    </w:p>
    <w:p w:rsidR="0090311B" w:rsidRPr="009B59DE" w:rsidRDefault="0090311B" w:rsidP="002B58BD">
      <w:pPr>
        <w:pStyle w:val="a4"/>
        <w:tabs>
          <w:tab w:val="left" w:pos="0"/>
        </w:tabs>
        <w:spacing w:after="0"/>
      </w:pPr>
    </w:p>
    <w:p w:rsidR="002B58BD" w:rsidRPr="009B59DE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9B59DE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2030 год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B59DE">
              <w:rPr>
                <w:sz w:val="24"/>
                <w:szCs w:val="24"/>
              </w:rPr>
              <w:t xml:space="preserve">Численность </w:t>
            </w:r>
            <w:r w:rsidRPr="009B59DE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723,1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</w:tr>
    </w:tbl>
    <w:p w:rsidR="002B58BD" w:rsidRPr="009B59DE" w:rsidRDefault="002B58BD" w:rsidP="002B58BD">
      <w:pPr>
        <w:pStyle w:val="a4"/>
        <w:tabs>
          <w:tab w:val="left" w:pos="0"/>
        </w:tabs>
        <w:spacing w:after="0"/>
      </w:pPr>
    </w:p>
    <w:p w:rsidR="002B58BD" w:rsidRPr="009B59DE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9B59DE">
        <w:t>Наиболее близкими к муниципальному образованию</w:t>
      </w:r>
      <w:r w:rsidR="002B58BD" w:rsidRPr="009B59DE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2B58BD" w:rsidRPr="009B59DE">
        <w:t>.</w:t>
      </w:r>
      <w:proofErr w:type="gramEnd"/>
      <w:r w:rsidR="002B58BD" w:rsidRPr="009B59DE">
        <w:t xml:space="preserve"> </w:t>
      </w:r>
      <w:proofErr w:type="gramStart"/>
      <w:r w:rsidR="002B58BD" w:rsidRPr="009B59DE">
        <w:t>и</w:t>
      </w:r>
      <w:proofErr w:type="gramEnd"/>
      <w:r w:rsidR="002B58BD" w:rsidRPr="009B59DE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2B58BD" w:rsidRPr="009B59DE">
        <w:t>Таким образом, среди городов – областных центров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, входящих в </w:t>
      </w:r>
      <w:r w:rsidR="004F20B1" w:rsidRPr="009B59DE">
        <w:t>СФО</w:t>
      </w:r>
      <w:r w:rsidR="002B58BD" w:rsidRPr="009B59DE">
        <w:t>, нет сопоставимых с</w:t>
      </w:r>
      <w:r w:rsidRPr="009B59DE">
        <w:t xml:space="preserve"> муниципальным образованием</w:t>
      </w:r>
      <w:r w:rsidR="002B58BD" w:rsidRPr="009B59DE">
        <w:t xml:space="preserve"> «Город Томск» по критериям «преобладающий тип застройки», а также «площадь жилого фонда </w:t>
      </w:r>
      <w:r w:rsidR="002B58BD" w:rsidRPr="009B59DE">
        <w:lastRenderedPageBreak/>
        <w:t>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9B59DE">
        <w:t>стем инженерной инфраструктуры муниципального образования</w:t>
      </w:r>
      <w:r w:rsidR="002B58BD" w:rsidRPr="009B59DE">
        <w:t xml:space="preserve"> «Город Томск» с другими областными центрами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 </w:t>
      </w:r>
      <w:r w:rsidR="00BA7C81" w:rsidRPr="009B59DE">
        <w:t>СФО</w:t>
      </w:r>
      <w:r w:rsidR="002B58BD" w:rsidRPr="009B59DE">
        <w:t>.</w:t>
      </w:r>
      <w:proofErr w:type="gramEnd"/>
    </w:p>
    <w:p w:rsidR="00EC44F0" w:rsidRPr="009B59DE" w:rsidRDefault="00EC44F0" w:rsidP="00EC44F0">
      <w:pPr>
        <w:ind w:firstLine="709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9B59DE">
        <w:t>муниципального образования «Город Томск»</w:t>
      </w:r>
      <w:r w:rsidRPr="009B59DE">
        <w:t xml:space="preserve">. В течение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9B59DE">
        <w:t>противопаводковые</w:t>
      </w:r>
      <w:proofErr w:type="spellEnd"/>
      <w:r w:rsidRPr="009B59DE">
        <w:t xml:space="preserve"> мероприятия.  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9B59DE">
        <w:t>Ушайки</w:t>
      </w:r>
      <w:proofErr w:type="spellEnd"/>
      <w:r w:rsidRPr="009B59DE">
        <w:t xml:space="preserve">, на </w:t>
      </w:r>
      <w:proofErr w:type="spellStart"/>
      <w:r w:rsidRPr="009B59DE">
        <w:t>Новособорной</w:t>
      </w:r>
      <w:proofErr w:type="spellEnd"/>
      <w:r w:rsidRPr="009B59DE">
        <w:t xml:space="preserve"> площади и в Буфф-Саду, которые требуют постоянного обслуживания в летний период времени. </w:t>
      </w:r>
    </w:p>
    <w:p w:rsidR="00EC44F0" w:rsidRPr="009B59DE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59DE">
        <w:rPr>
          <w:color w:val="000000"/>
        </w:rPr>
        <w:t>В</w:t>
      </w:r>
      <w:r w:rsidR="00271E2C" w:rsidRPr="009B59DE">
        <w:rPr>
          <w:color w:val="000000"/>
        </w:rPr>
        <w:t xml:space="preserve"> настоящее время на территории муниципального образования</w:t>
      </w:r>
      <w:r w:rsidRPr="009B59DE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9B59DE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9B59DE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9B59DE">
        <w:rPr>
          <w:color w:val="000000"/>
        </w:rPr>
        <w:t xml:space="preserve"> администрации Города Томска</w:t>
      </w:r>
      <w:r w:rsidRPr="009B59DE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</w:t>
      </w:r>
      <w:r w:rsidR="00985F34">
        <w:rPr>
          <w:rFonts w:ascii="Times New Roman" w:hAnsi="Times New Roman" w:cs="Times New Roman"/>
          <w:sz w:val="24"/>
          <w:szCs w:val="24"/>
        </w:rPr>
        <w:t xml:space="preserve">енность сетей, эксплуатируемых </w:t>
      </w:r>
      <w:r w:rsidRPr="009B59D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9B59DE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9B59DE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59DE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</w:t>
      </w:r>
      <w:r w:rsidR="0090311B" w:rsidRPr="009B59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9B59DE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9B59DE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9B59DE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</w:t>
      </w:r>
      <w:proofErr w:type="gramEnd"/>
      <w:r w:rsidRPr="009B59DE">
        <w:rPr>
          <w:rFonts w:ascii="Times New Roman" w:hAnsi="Times New Roman" w:cs="Times New Roman"/>
          <w:sz w:val="24"/>
          <w:szCs w:val="24"/>
        </w:rPr>
        <w:t xml:space="preserve">, вследствие отсутствия возможности резервирования подачи. </w:t>
      </w:r>
    </w:p>
    <w:p w:rsidR="008252F6" w:rsidRPr="009B59DE" w:rsidRDefault="008252F6" w:rsidP="008252F6">
      <w:pPr>
        <w:ind w:firstLine="720"/>
        <w:jc w:val="both"/>
      </w:pPr>
      <w:r w:rsidRPr="009B59DE">
        <w:lastRenderedPageBreak/>
        <w:t xml:space="preserve">На сегодняшний день в некоторых районах </w:t>
      </w:r>
      <w:r w:rsidR="0090311B" w:rsidRPr="009B59DE">
        <w:t xml:space="preserve">муниципального образования «Город Томск» </w:t>
      </w:r>
      <w:r w:rsidRPr="009B59DE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9B59DE" w:rsidRDefault="008252F6" w:rsidP="008252F6">
      <w:pPr>
        <w:ind w:firstLine="539"/>
        <w:jc w:val="both"/>
      </w:pPr>
      <w:r w:rsidRPr="009B59DE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9B59DE">
        <w:t xml:space="preserve">муниципального образования «Город Томск» </w:t>
      </w:r>
      <w:r w:rsidRPr="009B59DE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9B59DE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9B59DE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9B59DE">
        <w:rPr>
          <w:rFonts w:ascii="Times New Roman" w:hAnsi="Times New Roman" w:cs="Times New Roman"/>
        </w:rPr>
        <w:t>на территории</w:t>
      </w:r>
      <w:r w:rsidRPr="009B59DE">
        <w:rPr>
          <w:rFonts w:ascii="Times New Roman" w:hAnsi="Times New Roman" w:cs="Times New Roman"/>
        </w:rPr>
        <w:t xml:space="preserve"> </w:t>
      </w:r>
      <w:r w:rsidR="0090311B" w:rsidRPr="009B59DE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9B59DE">
          <w:rPr>
            <w:rFonts w:ascii="Times New Roman" w:hAnsi="Times New Roman" w:cs="Times New Roman"/>
          </w:rPr>
          <w:t>2010 г</w:t>
        </w:r>
      </w:smartTag>
      <w:r w:rsidRPr="009B59DE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9B59DE">
        <w:rPr>
          <w:rFonts w:ascii="Times New Roman" w:hAnsi="Times New Roman" w:cs="Times New Roman"/>
        </w:rPr>
        <w:t>.м</w:t>
      </w:r>
      <w:proofErr w:type="gramEnd"/>
      <w:r w:rsidRPr="009B59DE">
        <w:rPr>
          <w:rFonts w:ascii="Times New Roman" w:hAnsi="Times New Roman" w:cs="Times New Roman"/>
        </w:rPr>
        <w:t>3/год).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9B59DE">
        <w:t>Ушайка</w:t>
      </w:r>
      <w:proofErr w:type="spell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9B59DE">
        <w:t>Шории</w:t>
      </w:r>
      <w:proofErr w:type="spellEnd"/>
      <w:r w:rsidRPr="009B59DE">
        <w:t xml:space="preserve">, центральной части Кузнецкой котловины и течет в пределах </w:t>
      </w:r>
      <w:proofErr w:type="spellStart"/>
      <w:r w:rsidRPr="009B59DE">
        <w:t>Западно-Сибирской</w:t>
      </w:r>
      <w:proofErr w:type="spellEnd"/>
      <w:r w:rsidRPr="009B59DE">
        <w:t xml:space="preserve"> равнины.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Площадь водосбора реки Томи до устья 62000 км, до </w:t>
      </w:r>
      <w:r w:rsidR="0090311B" w:rsidRPr="009B59DE">
        <w:t xml:space="preserve">муниципального образования «Город Томск» </w:t>
      </w:r>
      <w:r w:rsidRPr="009B59DE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9B59DE">
        <w:t>мБС</w:t>
      </w:r>
      <w:proofErr w:type="spellEnd"/>
      <w:r w:rsidR="00C5065A" w:rsidRPr="009B59DE">
        <w:t xml:space="preserve"> (метры Балтийской системы)</w:t>
      </w:r>
      <w:r w:rsidRPr="009B59DE">
        <w:t>.</w:t>
      </w:r>
    </w:p>
    <w:p w:rsidR="008252F6" w:rsidRPr="009B59DE" w:rsidRDefault="0090311B" w:rsidP="008252F6">
      <w:pPr>
        <w:shd w:val="clear" w:color="auto" w:fill="FFFFFF"/>
        <w:ind w:firstLine="851"/>
        <w:jc w:val="both"/>
      </w:pPr>
      <w:r w:rsidRPr="009B59DE">
        <w:t xml:space="preserve">Муниципальное образование «Город Томск» </w:t>
      </w:r>
      <w:r w:rsidR="008252F6" w:rsidRPr="009B59DE">
        <w:t xml:space="preserve"> расположен</w:t>
      </w:r>
      <w:r w:rsidRPr="009B59DE">
        <w:t>о</w:t>
      </w:r>
      <w:r w:rsidR="008252F6" w:rsidRPr="009B59DE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</w:t>
      </w:r>
      <w:r w:rsidRPr="009B59DE">
        <w:lastRenderedPageBreak/>
        <w:t>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proofErr w:type="spellStart"/>
      <w:r w:rsidRPr="009B59DE">
        <w:t>Уровенный</w:t>
      </w:r>
      <w:proofErr w:type="spellEnd"/>
      <w:r w:rsidRPr="009B59DE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</w:t>
      </w:r>
      <w:proofErr w:type="spellStart"/>
      <w:r w:rsidRPr="009B59DE">
        <w:t>Ушайка</w:t>
      </w:r>
      <w:proofErr w:type="spellEnd"/>
      <w:r w:rsidRPr="009B59DE">
        <w:t xml:space="preserve"> берет начало на </w:t>
      </w:r>
      <w:proofErr w:type="spellStart"/>
      <w:r w:rsidRPr="009B59DE">
        <w:t>Томь-Яйском</w:t>
      </w:r>
      <w:proofErr w:type="spellEnd"/>
      <w:r w:rsidRPr="009B59DE">
        <w:t xml:space="preserve"> междуречье на высоте 242 м в 10 км к востоку </w:t>
      </w:r>
      <w:proofErr w:type="gramStart"/>
      <w:r w:rsidRPr="009B59DE">
        <w:t>от</w:t>
      </w:r>
      <w:proofErr w:type="gramEnd"/>
      <w:r w:rsidRPr="009B59DE">
        <w:t xml:space="preserve"> с. </w:t>
      </w:r>
      <w:proofErr w:type="spellStart"/>
      <w:r w:rsidRPr="009B59DE">
        <w:t>Межениновка</w:t>
      </w:r>
      <w:proofErr w:type="spellEnd"/>
      <w:r w:rsidRPr="009B59DE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шайки</w:t>
      </w:r>
      <w:proofErr w:type="spellEnd"/>
      <w:r w:rsidRPr="009B59DE">
        <w:t xml:space="preserve"> составляет 78 км, площадь водосбора - 744 км2.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В районе пос. Степановки долина реки шириной до 200 м пойменная, </w:t>
      </w:r>
      <w:proofErr w:type="spellStart"/>
      <w:r w:rsidRPr="009B59DE">
        <w:t>ящикообразная</w:t>
      </w:r>
      <w:proofErr w:type="spellEnd"/>
      <w:r w:rsidRPr="009B59DE">
        <w:t xml:space="preserve">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Русло однорукавное, устойчивое, слабоизвилистое. В районе ул. Короленко р. </w:t>
      </w:r>
      <w:proofErr w:type="spellStart"/>
      <w:r w:rsidRPr="009B59DE">
        <w:t>Ушайка</w:t>
      </w:r>
      <w:proofErr w:type="spellEnd"/>
      <w:r w:rsidRPr="009B59DE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9B59DE">
        <w:t>с</w:t>
      </w:r>
      <w:proofErr w:type="gram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По характеру водного режима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относится к рекам с весенним половодьем и паводками в теплое время.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подъеме и часто на пике половодья может проходить ледоход разной интенсивности. Существенных заторов не о</w:t>
      </w:r>
      <w:r w:rsidR="002A33F7" w:rsidRPr="009B59DE">
        <w:t>бразуется. В половодье отмечают</w:t>
      </w:r>
      <w:r w:rsidRPr="009B59DE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Наивысший уровень 273 см за весь период наблюдений на р. </w:t>
      </w:r>
      <w:proofErr w:type="spellStart"/>
      <w:r w:rsidRPr="009B59DE">
        <w:t>Ушайка</w:t>
      </w:r>
      <w:proofErr w:type="spellEnd"/>
      <w:r w:rsidRPr="009B59DE">
        <w:t xml:space="preserve"> у п. Сте</w:t>
      </w:r>
      <w:r w:rsidR="00985F34">
        <w:t>пановка наблюдался 02.05.1984</w:t>
      </w:r>
      <w:r w:rsidRPr="009B59DE">
        <w:t xml:space="preserve"> при редком ледоходе. Амплитуда колебания уровней воды за год составляет 200-250 см.</w:t>
      </w:r>
    </w:p>
    <w:p w:rsidR="00650414" w:rsidRPr="009B59DE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9B59DE">
        <w:t>МЕХАНИЗМЫ УПРАВЛЕНИЯ И КОНТРОЛЯ</w:t>
      </w:r>
    </w:p>
    <w:p w:rsidR="00650414" w:rsidRPr="009B59DE" w:rsidRDefault="00650414" w:rsidP="00650414">
      <w:pPr>
        <w:ind w:left="1800"/>
      </w:pPr>
    </w:p>
    <w:p w:rsidR="00650414" w:rsidRPr="009B59DE" w:rsidRDefault="00650414" w:rsidP="00650414">
      <w:pPr>
        <w:ind w:firstLine="851"/>
        <w:jc w:val="both"/>
      </w:pPr>
      <w:r w:rsidRPr="009B59DE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B59DE" w:rsidRDefault="00650414" w:rsidP="00650414">
      <w:pPr>
        <w:ind w:firstLine="851"/>
        <w:jc w:val="both"/>
        <w:rPr>
          <w:spacing w:val="-4"/>
        </w:rPr>
      </w:pPr>
      <w:r w:rsidRPr="009B59DE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Реализация Программы осуществляется в несколько этапов (2015 - </w:t>
      </w:r>
      <w:r w:rsidR="00155D64" w:rsidRPr="009B59DE">
        <w:t>2025</w:t>
      </w:r>
      <w:r w:rsidRPr="009B59DE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</w:t>
      </w:r>
      <w:r w:rsidRPr="009B59DE">
        <w:lastRenderedPageBreak/>
        <w:t xml:space="preserve">инфраструктуры, указанные в Программе, эксплуатируются </w:t>
      </w:r>
      <w:proofErr w:type="spellStart"/>
      <w:r w:rsidRPr="009B59DE">
        <w:t>ресурсоснабжающими</w:t>
      </w:r>
      <w:proofErr w:type="spellEnd"/>
      <w:r w:rsidRPr="009B59DE">
        <w:t xml:space="preserve"> организациями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4F5C1F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9B59DE">
        <w:t xml:space="preserve"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</w:t>
      </w:r>
      <w:r w:rsidRPr="004F5C1F">
        <w:t>хозяйства администрации Города Томска.</w:t>
      </w:r>
    </w:p>
    <w:p w:rsidR="00E9504E" w:rsidRPr="004F5C1F" w:rsidRDefault="00E9504E" w:rsidP="00650414">
      <w:pPr>
        <w:adjustRightInd w:val="0"/>
        <w:ind w:firstLine="851"/>
        <w:jc w:val="both"/>
        <w:outlineLvl w:val="1"/>
      </w:pPr>
      <w:r w:rsidRPr="004F5C1F">
        <w:t xml:space="preserve">Ответственность за достижение показателей целей, задач и мероприятий подпрограмм </w:t>
      </w:r>
      <w:r w:rsidR="0061554C" w:rsidRPr="004F5C1F">
        <w:t>П</w:t>
      </w:r>
      <w:r w:rsidRPr="004F5C1F">
        <w:t xml:space="preserve">рограммы несут соисполнители </w:t>
      </w:r>
      <w:r w:rsidR="0061554C" w:rsidRPr="004F5C1F">
        <w:t>П</w:t>
      </w:r>
      <w:r w:rsidRPr="004F5C1F">
        <w:t>рограммы.</w:t>
      </w:r>
    </w:p>
    <w:p w:rsidR="000B2C91" w:rsidRPr="004F5C1F" w:rsidRDefault="000B2C91" w:rsidP="00650414">
      <w:pPr>
        <w:adjustRightInd w:val="0"/>
        <w:ind w:firstLine="851"/>
        <w:jc w:val="both"/>
        <w:outlineLvl w:val="1"/>
      </w:pPr>
      <w:r w:rsidRPr="004F5C1F">
        <w:t xml:space="preserve">Привлечение средств бюджета Томской области с целью </w:t>
      </w:r>
      <w:proofErr w:type="spellStart"/>
      <w:r w:rsidRPr="004F5C1F">
        <w:t>софинансирования</w:t>
      </w:r>
      <w:proofErr w:type="spellEnd"/>
      <w:r w:rsidRPr="004F5C1F">
        <w:t xml:space="preserve"> мероприятий Программы осуществля</w:t>
      </w:r>
      <w:r w:rsidR="0004547E" w:rsidRPr="004F5C1F">
        <w:t>ется</w:t>
      </w:r>
      <w:r w:rsidR="005F42E4" w:rsidRPr="004F5C1F">
        <w:t xml:space="preserve"> </w:t>
      </w:r>
      <w:r w:rsidRPr="004F5C1F">
        <w:t>в рамках реализации следующих государственных программ:</w:t>
      </w:r>
    </w:p>
    <w:p w:rsidR="000B2C91" w:rsidRPr="009B59DE" w:rsidRDefault="004F5C1F" w:rsidP="0004547E">
      <w:pPr>
        <w:autoSpaceDE w:val="0"/>
        <w:autoSpaceDN w:val="0"/>
        <w:adjustRightInd w:val="0"/>
        <w:ind w:firstLine="709"/>
        <w:jc w:val="both"/>
      </w:pPr>
      <w:r w:rsidRPr="004F5C1F">
        <w:t>1) Г</w:t>
      </w:r>
      <w:r w:rsidRPr="004F5C1F">
        <w:rPr>
          <w:rFonts w:eastAsiaTheme="minorHAnsi"/>
          <w:lang w:eastAsia="en-US"/>
        </w:rPr>
        <w:t>осударственная</w:t>
      </w:r>
      <w:r w:rsidR="0004547E" w:rsidRPr="004F5C1F">
        <w:rPr>
          <w:rFonts w:eastAsiaTheme="minorHAnsi"/>
          <w:lang w:eastAsia="en-US"/>
        </w:rPr>
        <w:t xml:space="preserve"> программ</w:t>
      </w:r>
      <w:r w:rsidRPr="004F5C1F">
        <w:rPr>
          <w:rFonts w:eastAsiaTheme="minorHAnsi"/>
          <w:lang w:eastAsia="en-US"/>
        </w:rPr>
        <w:t>а</w:t>
      </w:r>
      <w:r w:rsidR="0004547E" w:rsidRPr="004F5C1F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E04E64">
        <w:rPr>
          <w:rFonts w:eastAsiaTheme="minorHAnsi"/>
          <w:lang w:eastAsia="en-US"/>
        </w:rPr>
        <w:t>ержденная</w:t>
      </w:r>
      <w:r w:rsidR="0004547E" w:rsidRPr="004F5C1F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0B2C91" w:rsidRPr="004F5C1F">
        <w:t xml:space="preserve">. Порядок и условия привлечения </w:t>
      </w:r>
      <w:proofErr w:type="spellStart"/>
      <w:r w:rsidR="000B2C91" w:rsidRPr="004F5C1F">
        <w:t>софинансирования</w:t>
      </w:r>
      <w:proofErr w:type="spellEnd"/>
      <w:r w:rsidR="000B2C91" w:rsidRPr="004F5C1F">
        <w:t xml:space="preserve"> определены Порядком предоставления </w:t>
      </w:r>
      <w:r w:rsidR="0047677C" w:rsidRPr="004F5C1F">
        <w:t xml:space="preserve">и распределения субсидий </w:t>
      </w:r>
      <w:r w:rsidR="000B2C91" w:rsidRPr="004F5C1F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4F5C1F">
        <w:t>;</w:t>
      </w:r>
    </w:p>
    <w:p w:rsidR="00A631E0" w:rsidRPr="009B59DE" w:rsidRDefault="008E51A2" w:rsidP="00A631E0">
      <w:pPr>
        <w:autoSpaceDE w:val="0"/>
        <w:autoSpaceDN w:val="0"/>
        <w:adjustRightInd w:val="0"/>
        <w:ind w:firstLine="709"/>
        <w:jc w:val="both"/>
      </w:pPr>
      <w:r w:rsidRPr="009B59DE">
        <w:t xml:space="preserve">2)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E04E64">
        <w:rPr>
          <w:rFonts w:eastAsiaTheme="minorHAnsi"/>
          <w:lang w:eastAsia="en-US"/>
        </w:rPr>
        <w:t>ержденная</w:t>
      </w:r>
      <w:r w:rsidR="0004547E" w:rsidRPr="009B59DE">
        <w:rPr>
          <w:rFonts w:eastAsiaTheme="minorHAnsi"/>
          <w:lang w:eastAsia="en-US"/>
        </w:rPr>
        <w:t xml:space="preserve"> постановлением Администрации Томск</w:t>
      </w:r>
      <w:r w:rsidR="00A631E0" w:rsidRPr="009B59DE">
        <w:rPr>
          <w:rFonts w:eastAsiaTheme="minorHAnsi"/>
          <w:lang w:eastAsia="en-US"/>
        </w:rPr>
        <w:t>ой области от 25.09.2019 № 337а</w:t>
      </w:r>
      <w:r w:rsidR="0004547E" w:rsidRPr="009B59DE">
        <w:t>.</w:t>
      </w:r>
      <w:r w:rsidRPr="009B59DE">
        <w:t xml:space="preserve"> Порядок и условия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определены </w:t>
      </w:r>
      <w:r w:rsidR="00A631E0" w:rsidRPr="009B59DE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9B59DE" w:rsidRDefault="008E51A2" w:rsidP="00012E62">
      <w:pPr>
        <w:autoSpaceDE w:val="0"/>
        <w:autoSpaceDN w:val="0"/>
        <w:adjustRightInd w:val="0"/>
        <w:ind w:firstLine="709"/>
        <w:jc w:val="both"/>
      </w:pPr>
      <w:r w:rsidRPr="009B59DE">
        <w:t>3</w:t>
      </w:r>
      <w:r w:rsidR="008561A8" w:rsidRPr="009B59DE">
        <w:t xml:space="preserve">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«Охрана окружающей среды, воспроизводство и рациональное использование природных ресурсов», утв</w:t>
      </w:r>
      <w:r w:rsidR="00E04E64">
        <w:rPr>
          <w:rFonts w:eastAsiaTheme="minorHAnsi"/>
          <w:lang w:eastAsia="en-US"/>
        </w:rPr>
        <w:t>ержденная</w:t>
      </w:r>
      <w:r w:rsidR="0004547E" w:rsidRPr="009B59DE">
        <w:rPr>
          <w:rFonts w:eastAsiaTheme="minorHAnsi"/>
          <w:lang w:eastAsia="en-US"/>
        </w:rPr>
        <w:t xml:space="preserve"> постановлением Администрации Томской области от 27.09.2019 № 343а</w:t>
      </w:r>
      <w:r w:rsidR="00C30BED">
        <w:t>.</w:t>
      </w:r>
    </w:p>
    <w:p w:rsidR="006E54A9" w:rsidRPr="009B59DE" w:rsidRDefault="006E54A9" w:rsidP="006E54A9">
      <w:pPr>
        <w:adjustRightInd w:val="0"/>
        <w:ind w:firstLine="851"/>
        <w:jc w:val="both"/>
        <w:outlineLvl w:val="1"/>
      </w:pPr>
      <w:r w:rsidRPr="009B59DE">
        <w:t xml:space="preserve">Привлечение внебюджетных средств на реализацию мероприятий </w:t>
      </w:r>
      <w:r w:rsidR="0061554C" w:rsidRPr="009B59DE">
        <w:t>П</w:t>
      </w:r>
      <w:r w:rsidRPr="009B59DE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9B59DE">
        <w:t>ресурсоснабжающих</w:t>
      </w:r>
      <w:proofErr w:type="spellEnd"/>
      <w:r w:rsidRPr="009B59DE">
        <w:t xml:space="preserve"> организаций </w:t>
      </w:r>
      <w:r w:rsidR="0090311B" w:rsidRPr="009B59DE">
        <w:t xml:space="preserve">муниципального образования «Город Томск» </w:t>
      </w:r>
      <w:r w:rsidRPr="009B59DE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9B59DE" w:rsidRDefault="00650414" w:rsidP="00650414">
      <w:pPr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9B59DE">
        <w:t>департаментом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9B59DE">
        <w:t xml:space="preserve">на текущий финансовый год </w:t>
      </w:r>
      <w:r w:rsidRPr="009B59DE">
        <w:t>и плановый период и изменениями в данное решение;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подготовки отчетов о ходе реализации Программы;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из иных бюджетных источников и внебюджетных источников.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proofErr w:type="gramStart"/>
      <w:r w:rsidRPr="009B59DE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9B59DE">
        <w:t>департамент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</w:t>
      </w:r>
      <w:r w:rsidRPr="009B59DE">
        <w:lastRenderedPageBreak/>
        <w:t>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9B59DE" w:rsidRDefault="00E9504E" w:rsidP="00E9504E">
      <w:pPr>
        <w:adjustRightInd w:val="0"/>
        <w:ind w:firstLine="851"/>
        <w:jc w:val="both"/>
        <w:outlineLvl w:val="1"/>
      </w:pPr>
      <w:r w:rsidRPr="009B59DE">
        <w:t xml:space="preserve">Мониторинг и контроль хода реализации </w:t>
      </w:r>
      <w:r w:rsidR="0061554C" w:rsidRPr="009B59DE">
        <w:t>П</w:t>
      </w:r>
      <w:r w:rsidRPr="009B59DE">
        <w:t>рограммы осуществляет департамент городского хозяйства</w:t>
      </w:r>
      <w:r w:rsidR="0090311B" w:rsidRPr="009B59DE">
        <w:t xml:space="preserve"> администрации Города Томска</w:t>
      </w:r>
      <w:r w:rsidRPr="009B59DE">
        <w:t>.</w:t>
      </w:r>
    </w:p>
    <w:p w:rsidR="0031148A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proofErr w:type="gramStart"/>
      <w:r w:rsidR="009D0E76" w:rsidRPr="009B59DE">
        <w:t xml:space="preserve">Соисполнители </w:t>
      </w:r>
      <w:r w:rsidR="008A5867" w:rsidRPr="009B59DE">
        <w:t xml:space="preserve">подпрограмм предоставляют в адрес департамента городского хозяйства </w:t>
      </w:r>
      <w:r w:rsidR="003A37BF" w:rsidRPr="009B59DE">
        <w:t xml:space="preserve">администрации Города Томска </w:t>
      </w:r>
      <w:r w:rsidR="008A5867" w:rsidRPr="009B59DE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9B59DE">
        <w:t xml:space="preserve"> контроля, </w:t>
      </w:r>
      <w:proofErr w:type="gramStart"/>
      <w:r w:rsidR="008A5867" w:rsidRPr="009B59DE">
        <w:t>утвержденному</w:t>
      </w:r>
      <w:proofErr w:type="gramEnd"/>
      <w:r w:rsidR="008A5867" w:rsidRPr="009B59DE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9B59DE">
        <w:t>Excel</w:t>
      </w:r>
      <w:proofErr w:type="spellEnd"/>
      <w:r w:rsidR="008A5867" w:rsidRPr="009B59DE">
        <w:t xml:space="preserve"> и MS </w:t>
      </w:r>
      <w:proofErr w:type="spellStart"/>
      <w:r w:rsidR="008A5867" w:rsidRPr="009B59DE">
        <w:t>Word</w:t>
      </w:r>
      <w:proofErr w:type="spellEnd"/>
      <w:r w:rsidR="008A5867" w:rsidRPr="009B59DE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9B59DE">
        <w:t>П</w:t>
      </w:r>
      <w:r w:rsidRPr="009B59DE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9B59DE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9B59DE">
        <w:t>Excel</w:t>
      </w:r>
      <w:proofErr w:type="spellEnd"/>
      <w:r w:rsidRPr="009B59DE">
        <w:t xml:space="preserve"> и MS </w:t>
      </w:r>
      <w:proofErr w:type="spellStart"/>
      <w:r w:rsidRPr="009B59DE">
        <w:t>Word</w:t>
      </w:r>
      <w:proofErr w:type="spellEnd"/>
      <w:r w:rsidRPr="009B59DE">
        <w:t xml:space="preserve"> соответственно) в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и департамент финансов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 xml:space="preserve">и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в течение 15 рабочих дней </w:t>
      </w:r>
      <w:proofErr w:type="gramStart"/>
      <w:r w:rsidRPr="009B59DE">
        <w:t>с даты поступления</w:t>
      </w:r>
      <w:proofErr w:type="gramEnd"/>
      <w:r w:rsidRPr="009B59DE">
        <w:t xml:space="preserve"> предварительного отчета проводят проверку представленных в отчете данных: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1)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на предмет: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наименований и плановых значений показателей </w:t>
      </w:r>
      <w:r w:rsidR="0061554C" w:rsidRPr="009B59DE">
        <w:t>П</w:t>
      </w:r>
      <w:r w:rsidRPr="009B59DE">
        <w:t xml:space="preserve">рограммы в предварительном отчете показателям, утвержденным в </w:t>
      </w:r>
      <w:r w:rsidR="0061554C" w:rsidRPr="009B59DE">
        <w:t>П</w:t>
      </w:r>
      <w:r w:rsidRPr="009B59DE">
        <w:t>рограмме в последней редакции отчетного года, а также полноты представленных данных;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фактических значений показателей </w:t>
      </w:r>
      <w:r w:rsidR="0061554C" w:rsidRPr="009B59DE">
        <w:t>П</w:t>
      </w:r>
      <w:r w:rsidRPr="009B59DE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9B59DE">
        <w:t>ии Города Томска от 28.10.2015 №</w:t>
      </w:r>
      <w:r w:rsidRPr="009B59DE">
        <w:t xml:space="preserve"> р1180;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2)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на предмет соответствия объемов финансирования </w:t>
      </w:r>
      <w:r w:rsidR="0061554C" w:rsidRPr="009B59DE">
        <w:t>П</w:t>
      </w:r>
      <w:r w:rsidRPr="009B59DE">
        <w:t>рограммы, указанных в предварительн</w:t>
      </w:r>
      <w:r w:rsidR="009319C2" w:rsidRPr="009B59DE">
        <w:t>ом</w:t>
      </w:r>
      <w:r w:rsidRPr="009B59DE">
        <w:t xml:space="preserve"> отчет</w:t>
      </w:r>
      <w:r w:rsidR="009319C2" w:rsidRPr="009B59DE">
        <w:t>е</w:t>
      </w:r>
      <w:r w:rsidRPr="009B59DE">
        <w:t>, утвержденным решением Думы Города Томска о бюдж</w:t>
      </w:r>
      <w:r w:rsidR="007856D8" w:rsidRPr="009B59DE">
        <w:t>ете муниципального образования «Город Томск»</w:t>
      </w:r>
      <w:r w:rsidRPr="009B59DE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9B59DE">
        <w:t>ой</w:t>
      </w:r>
      <w:r w:rsidRPr="009B59DE">
        <w:t xml:space="preserve"> </w:t>
      </w:r>
      <w:r w:rsidR="0061554C" w:rsidRPr="009B59DE">
        <w:t>П</w:t>
      </w:r>
      <w:r w:rsidRPr="009B59DE">
        <w:t>рограмм</w:t>
      </w:r>
      <w:r w:rsidR="009319C2" w:rsidRPr="009B59DE">
        <w:t>ы</w:t>
      </w:r>
      <w:r w:rsidRPr="009B59DE">
        <w:t>, подпрограмм и основных мероприятий;</w:t>
      </w:r>
      <w:proofErr w:type="gramEnd"/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lastRenderedPageBreak/>
        <w:t xml:space="preserve">и направляют свои замечания </w:t>
      </w:r>
      <w:r w:rsidR="006C51DE" w:rsidRPr="009B59DE">
        <w:t xml:space="preserve">в адрес </w:t>
      </w:r>
      <w:proofErr w:type="gramStart"/>
      <w:r w:rsidR="006C51DE" w:rsidRPr="009B59DE">
        <w:t>департамента городского хозяйства</w:t>
      </w:r>
      <w:r w:rsidR="003A37BF" w:rsidRPr="009B59DE">
        <w:t xml:space="preserve"> администрации Города Томска</w:t>
      </w:r>
      <w:proofErr w:type="gramEnd"/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Днем получения предварительн</w:t>
      </w:r>
      <w:r w:rsidR="006C51DE" w:rsidRPr="009B59DE">
        <w:t>ого</w:t>
      </w:r>
      <w:r w:rsidRPr="009B59DE">
        <w:t xml:space="preserve"> отчет</w:t>
      </w:r>
      <w:r w:rsidR="006C51DE" w:rsidRPr="009B59DE">
        <w:t>а</w:t>
      </w:r>
      <w:r w:rsidRPr="009B59DE">
        <w:t xml:space="preserve"> считается день </w:t>
      </w:r>
      <w:r w:rsidR="006C51DE" w:rsidRPr="009B59DE">
        <w:t>его</w:t>
      </w:r>
      <w:r w:rsidRPr="009B59DE">
        <w:t xml:space="preserve"> регистрации в управлении экономического развития</w:t>
      </w:r>
      <w:r w:rsidR="00FB27F8" w:rsidRPr="009B59DE">
        <w:t xml:space="preserve"> администрации Города Томска</w:t>
      </w:r>
      <w:r w:rsidRPr="009B59DE">
        <w:t xml:space="preserve"> и департаменте финансов </w:t>
      </w:r>
      <w:r w:rsidR="00FB27F8" w:rsidRPr="009B59DE">
        <w:t xml:space="preserve">администрации Города Томска </w:t>
      </w:r>
      <w:r w:rsidRPr="009B59DE">
        <w:t>соответственно.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</w:t>
      </w:r>
      <w:r w:rsidR="003A37BF" w:rsidRPr="009B59DE">
        <w:t xml:space="preserve">администрации Города Томска </w:t>
      </w:r>
      <w:r w:rsidRPr="009B59DE">
        <w:t>устраняе</w:t>
      </w:r>
      <w:r w:rsidR="0031148A" w:rsidRPr="009B59DE">
        <w:t xml:space="preserve">т замечания управления экономического развития </w:t>
      </w:r>
      <w:r w:rsidR="003A37BF" w:rsidRPr="009B59DE">
        <w:t xml:space="preserve">администрации Города Томска </w:t>
      </w:r>
      <w:r w:rsidR="0031148A" w:rsidRPr="009B59DE">
        <w:t>и департамента финансов</w:t>
      </w:r>
      <w:r w:rsidR="003A37BF" w:rsidRPr="009B59DE">
        <w:t xml:space="preserve"> администрации Города Томска</w:t>
      </w:r>
      <w:r w:rsidR="0031148A" w:rsidRPr="009B59DE">
        <w:t>, утвержда</w:t>
      </w:r>
      <w:r w:rsidRPr="009B59DE">
        <w:t>е</w:t>
      </w:r>
      <w:r w:rsidR="0031148A" w:rsidRPr="009B59DE">
        <w:t>т итоговы</w:t>
      </w:r>
      <w:r w:rsidRPr="009B59DE">
        <w:t>й</w:t>
      </w:r>
      <w:r w:rsidR="0031148A" w:rsidRPr="009B59DE">
        <w:t xml:space="preserve"> отчет </w:t>
      </w:r>
      <w:r w:rsidR="003A37BF" w:rsidRPr="009B59DE">
        <w:t>муниципальным правовым актом руководителя</w:t>
      </w:r>
      <w:r w:rsidRPr="009B59DE">
        <w:t xml:space="preserve">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="0031148A" w:rsidRPr="009B59DE">
        <w:t xml:space="preserve"> и представля</w:t>
      </w:r>
      <w:r w:rsidRPr="009B59DE">
        <w:t>е</w:t>
      </w:r>
      <w:r w:rsidR="0031148A" w:rsidRPr="009B59DE">
        <w:t>т в управление экономического развития</w:t>
      </w:r>
      <w:r w:rsidR="003A37BF" w:rsidRPr="009B59DE">
        <w:t xml:space="preserve"> администрации Города Томска</w:t>
      </w:r>
      <w:r w:rsidR="0031148A" w:rsidRPr="009B59DE">
        <w:t>, департамент финансов</w:t>
      </w:r>
      <w:r w:rsidR="00B333F2" w:rsidRPr="009B59DE">
        <w:t xml:space="preserve"> администрации Города Томска</w:t>
      </w:r>
      <w:r w:rsidR="0031148A" w:rsidRPr="009B59DE">
        <w:t xml:space="preserve"> и в Счетную палату Города Томска в срок до 10 марта года, следующего</w:t>
      </w:r>
      <w:proofErr w:type="gramEnd"/>
      <w:r w:rsidR="0031148A" w:rsidRPr="009B59DE">
        <w:t xml:space="preserve"> за </w:t>
      </w:r>
      <w:proofErr w:type="gramStart"/>
      <w:r w:rsidR="0031148A" w:rsidRPr="009B59DE">
        <w:t>отчетным</w:t>
      </w:r>
      <w:proofErr w:type="gramEnd"/>
      <w:r w:rsidR="0031148A" w:rsidRPr="009B59DE">
        <w:t>, в бумажном, а также в электронном виде.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Департамент городского хозяйства</w:t>
      </w:r>
      <w:r w:rsidR="0031148A" w:rsidRPr="009B59DE">
        <w:t xml:space="preserve"> </w:t>
      </w:r>
      <w:r w:rsidR="003A37BF" w:rsidRPr="009B59DE">
        <w:t xml:space="preserve">администрации Города Томска </w:t>
      </w:r>
      <w:r w:rsidR="0031148A" w:rsidRPr="009B59DE">
        <w:t>нес</w:t>
      </w:r>
      <w:r w:rsidRPr="009B59DE">
        <w:t>е</w:t>
      </w:r>
      <w:r w:rsidR="0031148A" w:rsidRPr="009B59DE">
        <w:t>т ответственность за качество, полноту и достоверность данных в предоставленных отчетах.</w:t>
      </w:r>
    </w:p>
    <w:p w:rsidR="00650414" w:rsidRPr="009B59DE" w:rsidRDefault="00650414" w:rsidP="00805EAE">
      <w:pPr>
        <w:autoSpaceDE w:val="0"/>
        <w:autoSpaceDN w:val="0"/>
        <w:adjustRightInd w:val="0"/>
        <w:jc w:val="both"/>
      </w:pPr>
      <w:proofErr w:type="gramStart"/>
      <w:r w:rsidRPr="009B59DE">
        <w:t xml:space="preserve">Фактическое значение показателя «Доля инженерных сетей, нуждающихся в замене» цели </w:t>
      </w:r>
      <w:r w:rsidR="0061554C" w:rsidRPr="009B59DE">
        <w:t>П</w:t>
      </w:r>
      <w:r w:rsidRPr="009B59DE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9B59DE">
        <w:t>Томскстат</w:t>
      </w:r>
      <w:proofErr w:type="spellEnd"/>
      <w:r w:rsidRPr="009B59DE">
        <w:t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9B59DE">
        <w:t>,</w:t>
      </w:r>
      <w:r w:rsidRPr="009B59DE">
        <w:t xml:space="preserve"> в соответствии с </w:t>
      </w:r>
      <w:r w:rsidR="00C0611C" w:rsidRPr="009B59DE">
        <w:t xml:space="preserve">Приказом Росстата </w:t>
      </w:r>
      <w:r w:rsidR="00805EAE" w:rsidRPr="009B59DE">
        <w:rPr>
          <w:rFonts w:eastAsiaTheme="minorHAnsi"/>
          <w:lang w:eastAsia="en-US"/>
        </w:rPr>
        <w:t>от 19.08.2020</w:t>
      </w:r>
      <w:proofErr w:type="gramEnd"/>
      <w:r w:rsidR="00805EAE" w:rsidRPr="009B59DE">
        <w:rPr>
          <w:rFonts w:eastAsiaTheme="minorHAnsi"/>
          <w:lang w:eastAsia="en-US"/>
        </w:rPr>
        <w:t xml:space="preserve"> № 477 «Об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образования».</w:t>
      </w:r>
    </w:p>
    <w:p w:rsidR="00650414" w:rsidRPr="009B59DE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>В соответствии с п</w:t>
      </w:r>
      <w:r w:rsidR="00E04E64">
        <w:t>унктом</w:t>
      </w:r>
      <w:r w:rsidRPr="009B59DE">
        <w:t xml:space="preserve"> 7.8 П</w:t>
      </w:r>
      <w:r w:rsidR="00650414" w:rsidRPr="009B59DE">
        <w:t xml:space="preserve">орядка принятия решений о разработке муниципальных программ </w:t>
      </w:r>
      <w:r w:rsidR="00B104F5" w:rsidRPr="009B59DE">
        <w:t>муниципального образования</w:t>
      </w:r>
      <w:r w:rsidR="00650414" w:rsidRPr="009B59DE">
        <w:t xml:space="preserve"> «Город Томск», их формирования, реализации, </w:t>
      </w:r>
      <w:r w:rsidR="00C70913" w:rsidRPr="009B59DE">
        <w:t xml:space="preserve">корректировки, </w:t>
      </w:r>
      <w:r w:rsidR="00650414" w:rsidRPr="009B59DE">
        <w:t xml:space="preserve">мониторинга и контроля, утвержденного постановлением администрации Города Томска от 15.07.2014 № 677 </w:t>
      </w:r>
      <w:r w:rsidR="00D55B9D" w:rsidRPr="009B59DE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9B59DE">
        <w:t xml:space="preserve">», </w:t>
      </w:r>
      <w:r w:rsidR="00B333F2" w:rsidRPr="009B59DE">
        <w:t>у</w:t>
      </w:r>
      <w:r w:rsidR="00DD0580" w:rsidRPr="009B59DE">
        <w:t xml:space="preserve">правление экономического развития </w:t>
      </w:r>
      <w:r w:rsidR="00B333F2" w:rsidRPr="009B59DE">
        <w:t xml:space="preserve">администрации Города Томска </w:t>
      </w:r>
      <w:r w:rsidR="00DD0580" w:rsidRPr="009B59DE">
        <w:t>проводит оценку эффективности</w:t>
      </w:r>
      <w:proofErr w:type="gramEnd"/>
      <w:r w:rsidR="00DD0580" w:rsidRPr="009B59DE">
        <w:t xml:space="preserve"> реализации </w:t>
      </w:r>
      <w:r w:rsidR="0061554C" w:rsidRPr="009B59DE">
        <w:t>Программы</w:t>
      </w:r>
      <w:r w:rsidR="00DD0580" w:rsidRPr="009B59DE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оценке эффективности реализации </w:t>
      </w:r>
      <w:r w:rsidR="0061554C" w:rsidRPr="009B59DE">
        <w:t>П</w:t>
      </w:r>
      <w:r w:rsidRPr="009B59DE">
        <w:t xml:space="preserve">рограммы управлением экономического развития </w:t>
      </w:r>
      <w:r w:rsidR="003A37BF" w:rsidRPr="009B59DE">
        <w:t xml:space="preserve">администрации Города Томска </w:t>
      </w:r>
      <w:r w:rsidRPr="009B59DE">
        <w:t>показатель «Доля инженерных сетей, нуждающихся в замене» не учитывается.</w:t>
      </w:r>
    </w:p>
    <w:p w:rsidR="00443861" w:rsidRPr="009B59DE" w:rsidRDefault="0044386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расчете фактических значений показателя «Повышение удовлетворённости жителей оказанными услугами </w:t>
      </w:r>
      <w:proofErr w:type="spellStart"/>
      <w:r w:rsidRPr="009B59DE">
        <w:t>электро</w:t>
      </w:r>
      <w:proofErr w:type="spellEnd"/>
      <w:r w:rsidRPr="009B59DE">
        <w:t>-, тепл</w:t>
      </w:r>
      <w:proofErr w:type="gramStart"/>
      <w:r w:rsidRPr="009B59DE">
        <w:t>о-</w:t>
      </w:r>
      <w:proofErr w:type="gramEnd"/>
      <w:r w:rsidRPr="009B59DE">
        <w:t xml:space="preserve">, </w:t>
      </w:r>
      <w:proofErr w:type="spellStart"/>
      <w:r w:rsidRPr="009B59DE">
        <w:t>газо</w:t>
      </w:r>
      <w:proofErr w:type="spellEnd"/>
      <w:r w:rsidRPr="009B59DE">
        <w:t>-, водоснабжения и водоотведения (количество жалоб , ед.)» учитывается количество жалоб на качество коммунальных услуг, поступивших в администрацию Города Томска, районные администрации Города Томска, департамент городского хозяйства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9B59DE">
        <w:t>Томскстатом</w:t>
      </w:r>
      <w:proofErr w:type="spellEnd"/>
      <w:r w:rsidRPr="009B59DE">
        <w:t xml:space="preserve">, в срок до 01 июля года, следующего за </w:t>
      </w:r>
      <w:proofErr w:type="gramStart"/>
      <w:r w:rsidRPr="009B59DE">
        <w:t>отчетным</w:t>
      </w:r>
      <w:proofErr w:type="gramEnd"/>
      <w:r w:rsidRPr="009B59DE">
        <w:t xml:space="preserve"> департамент городского хозяйства </w:t>
      </w:r>
      <w:r w:rsidR="00B333F2" w:rsidRPr="009B59DE">
        <w:t xml:space="preserve">администрации Города Томска </w:t>
      </w:r>
      <w:r w:rsidRPr="009B59DE">
        <w:t xml:space="preserve">направляет в управление экономического развития </w:t>
      </w:r>
      <w:r w:rsidR="00B333F2" w:rsidRPr="009B59DE">
        <w:t xml:space="preserve">администрации Города Томска </w:t>
      </w:r>
      <w:r w:rsidRPr="009B59DE">
        <w:t>данные по показателю «Доля инженерных сетей, нуждающихся в замене».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внесении изменений в подпрограммы, затрагивающие содержание </w:t>
      </w:r>
      <w:r w:rsidR="0061554C" w:rsidRPr="009B59DE">
        <w:t>П</w:t>
      </w:r>
      <w:r w:rsidRPr="009B59DE">
        <w:t xml:space="preserve">рограммы в целом, ответственный исполнитель подпрограммы формирует проект внесения изменений в </w:t>
      </w:r>
      <w:r w:rsidR="0061554C" w:rsidRPr="009B59DE">
        <w:t>П</w:t>
      </w:r>
      <w:r w:rsidRPr="009B59DE">
        <w:t>рограмму и подпрограммы.</w:t>
      </w:r>
    </w:p>
    <w:p w:rsidR="00650414" w:rsidRPr="009B59DE" w:rsidRDefault="00650414" w:rsidP="00650414">
      <w:pPr>
        <w:suppressAutoHyphens/>
        <w:adjustRightInd w:val="0"/>
        <w:ind w:firstLine="851"/>
        <w:jc w:val="both"/>
      </w:pPr>
      <w:r w:rsidRPr="009B59DE">
        <w:t>Реализация Программы освещается в средствах массовой информации.</w:t>
      </w: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</w:pPr>
      <w:r w:rsidRPr="009B59DE">
        <w:lastRenderedPageBreak/>
        <w:t>ПОДПРОГРАММЫ</w:t>
      </w:r>
    </w:p>
    <w:p w:rsidR="00650414" w:rsidRPr="009B59DE" w:rsidRDefault="00650414" w:rsidP="00650414">
      <w:pPr>
        <w:tabs>
          <w:tab w:val="left" w:pos="1134"/>
        </w:tabs>
        <w:ind w:left="1800"/>
      </w:pP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B59DE">
        <w:t>Подпрограмма</w:t>
      </w:r>
      <w:r w:rsidRPr="009B59DE">
        <w:rPr>
          <w:b/>
        </w:rPr>
        <w:t xml:space="preserve"> «Содержание инженерной инфраструктуры»</w:t>
      </w:r>
      <w:r w:rsidRPr="009B59DE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B59DE">
        <w:t>ресурсоснабжающим</w:t>
      </w:r>
      <w:proofErr w:type="spellEnd"/>
      <w:r w:rsidRPr="009B59DE">
        <w:t xml:space="preserve"> организациям.</w:t>
      </w:r>
      <w:proofErr w:type="gramEnd"/>
      <w:r w:rsidRPr="009B59DE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9B59DE">
        <w:t>нерно-технического обеспечения муниципального образования</w:t>
      </w:r>
      <w:r w:rsidRPr="009B59DE">
        <w:t xml:space="preserve"> «Город Томск» и подготовку инженерной инфраструктуры к работе в отопительный период.</w:t>
      </w: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</w:t>
      </w:r>
      <w:r w:rsidRPr="009B59DE">
        <w:rPr>
          <w:b/>
        </w:rPr>
        <w:t>а «Организация и обеспечение эффективного исполнения функций»</w:t>
      </w:r>
      <w:r w:rsidRPr="009B59DE">
        <w:t xml:space="preserve"> по содержанию представляет собой смету затрат, необходимых для создания условий и обеспечения нормального </w:t>
      </w:r>
      <w:proofErr w:type="gramStart"/>
      <w:r w:rsidRPr="009B59DE">
        <w:t>функционирования подразделений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proofErr w:type="gramEnd"/>
      <w:r w:rsidRPr="009B59DE">
        <w:t xml:space="preserve">. </w:t>
      </w:r>
    </w:p>
    <w:p w:rsidR="00650414" w:rsidRPr="009B59DE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B59DE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B59DE" w:rsidRDefault="00650414" w:rsidP="00650414">
      <w:pPr>
        <w:tabs>
          <w:tab w:val="left" w:pos="1134"/>
        </w:tabs>
        <w:ind w:firstLine="857"/>
        <w:jc w:val="both"/>
      </w:pPr>
      <w:r w:rsidRPr="009B59DE">
        <w:t>3.</w:t>
      </w:r>
      <w:r w:rsidRPr="009B59DE">
        <w:tab/>
        <w:t>Подпрограмма</w:t>
      </w:r>
      <w:r w:rsidRPr="009B59DE">
        <w:rPr>
          <w:b/>
        </w:rPr>
        <w:t xml:space="preserve"> «Развитие инженерной инфраструктуры»</w:t>
      </w:r>
      <w:r w:rsidRPr="009B59DE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9B59DE">
        <w:t xml:space="preserve">муниципального образования «Город Томск» </w:t>
      </w:r>
      <w:r w:rsidRPr="009B59DE">
        <w:t xml:space="preserve">к сетям централизованного тепло- и электроснабжения. 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4. Целью подпрограммы </w:t>
      </w:r>
      <w:r w:rsidRPr="009B59DE">
        <w:rPr>
          <w:b/>
        </w:rPr>
        <w:t>«Газификация Томска»</w:t>
      </w:r>
      <w:r w:rsidRPr="009B59DE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9B59DE">
        <w:t xml:space="preserve">5. Подпрограмма </w:t>
      </w:r>
      <w:r w:rsidRPr="009B59DE">
        <w:rPr>
          <w:b/>
        </w:rPr>
        <w:t>«Инженерная защита территорий»</w:t>
      </w:r>
      <w:r w:rsidRPr="009B59DE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12E62"/>
    <w:rsid w:val="00037CBC"/>
    <w:rsid w:val="0004547E"/>
    <w:rsid w:val="000B2C91"/>
    <w:rsid w:val="000B4652"/>
    <w:rsid w:val="000D741E"/>
    <w:rsid w:val="000D7852"/>
    <w:rsid w:val="00111AB4"/>
    <w:rsid w:val="00130906"/>
    <w:rsid w:val="00155D64"/>
    <w:rsid w:val="001960AB"/>
    <w:rsid w:val="00196232"/>
    <w:rsid w:val="001B6A4A"/>
    <w:rsid w:val="001B79CD"/>
    <w:rsid w:val="001C053E"/>
    <w:rsid w:val="001C1EEC"/>
    <w:rsid w:val="001E4D03"/>
    <w:rsid w:val="00202552"/>
    <w:rsid w:val="00215D4D"/>
    <w:rsid w:val="002427CD"/>
    <w:rsid w:val="00254782"/>
    <w:rsid w:val="00271E2C"/>
    <w:rsid w:val="002A33F7"/>
    <w:rsid w:val="002A6D7F"/>
    <w:rsid w:val="002B58BD"/>
    <w:rsid w:val="002E1D9B"/>
    <w:rsid w:val="002F2229"/>
    <w:rsid w:val="0031148A"/>
    <w:rsid w:val="003201CF"/>
    <w:rsid w:val="00342CDE"/>
    <w:rsid w:val="00351B38"/>
    <w:rsid w:val="00353BAA"/>
    <w:rsid w:val="003564C0"/>
    <w:rsid w:val="0035736E"/>
    <w:rsid w:val="00395438"/>
    <w:rsid w:val="003A37BF"/>
    <w:rsid w:val="003A58CB"/>
    <w:rsid w:val="003E0962"/>
    <w:rsid w:val="0041172F"/>
    <w:rsid w:val="0043278E"/>
    <w:rsid w:val="004377C3"/>
    <w:rsid w:val="00443861"/>
    <w:rsid w:val="00446CE3"/>
    <w:rsid w:val="00461B86"/>
    <w:rsid w:val="00475999"/>
    <w:rsid w:val="0047677C"/>
    <w:rsid w:val="004A71E3"/>
    <w:rsid w:val="004D0355"/>
    <w:rsid w:val="004F20B1"/>
    <w:rsid w:val="004F5C1F"/>
    <w:rsid w:val="00506024"/>
    <w:rsid w:val="00510C72"/>
    <w:rsid w:val="005202C2"/>
    <w:rsid w:val="00574CE2"/>
    <w:rsid w:val="00595C63"/>
    <w:rsid w:val="005F42E4"/>
    <w:rsid w:val="005F59A5"/>
    <w:rsid w:val="0061554C"/>
    <w:rsid w:val="0062008A"/>
    <w:rsid w:val="006479D7"/>
    <w:rsid w:val="00650414"/>
    <w:rsid w:val="00667EE4"/>
    <w:rsid w:val="006C51DE"/>
    <w:rsid w:val="006E28E3"/>
    <w:rsid w:val="006E49C4"/>
    <w:rsid w:val="006E54A9"/>
    <w:rsid w:val="006F2D50"/>
    <w:rsid w:val="00700571"/>
    <w:rsid w:val="00702512"/>
    <w:rsid w:val="00705F9E"/>
    <w:rsid w:val="0072033C"/>
    <w:rsid w:val="00725970"/>
    <w:rsid w:val="00757FCD"/>
    <w:rsid w:val="0078240F"/>
    <w:rsid w:val="007856D8"/>
    <w:rsid w:val="007B01E8"/>
    <w:rsid w:val="00805EAE"/>
    <w:rsid w:val="008252F6"/>
    <w:rsid w:val="00851FDB"/>
    <w:rsid w:val="008561A8"/>
    <w:rsid w:val="00861C3F"/>
    <w:rsid w:val="00864D1D"/>
    <w:rsid w:val="008A2884"/>
    <w:rsid w:val="008A5867"/>
    <w:rsid w:val="008C0074"/>
    <w:rsid w:val="008E259D"/>
    <w:rsid w:val="008E51A2"/>
    <w:rsid w:val="008E70AA"/>
    <w:rsid w:val="0090311B"/>
    <w:rsid w:val="00921D6E"/>
    <w:rsid w:val="009233D1"/>
    <w:rsid w:val="009319C2"/>
    <w:rsid w:val="00974D0A"/>
    <w:rsid w:val="00985F34"/>
    <w:rsid w:val="009A3F30"/>
    <w:rsid w:val="009A7082"/>
    <w:rsid w:val="009B59DE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36149"/>
    <w:rsid w:val="00A449AD"/>
    <w:rsid w:val="00A631E0"/>
    <w:rsid w:val="00A978BE"/>
    <w:rsid w:val="00AA067D"/>
    <w:rsid w:val="00AB59C2"/>
    <w:rsid w:val="00AE5B60"/>
    <w:rsid w:val="00AE693D"/>
    <w:rsid w:val="00AF64B1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0611C"/>
    <w:rsid w:val="00C17290"/>
    <w:rsid w:val="00C27E28"/>
    <w:rsid w:val="00C30BED"/>
    <w:rsid w:val="00C5065A"/>
    <w:rsid w:val="00C70913"/>
    <w:rsid w:val="00C74FA9"/>
    <w:rsid w:val="00C85416"/>
    <w:rsid w:val="00C87473"/>
    <w:rsid w:val="00CB1415"/>
    <w:rsid w:val="00CC5528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04E64"/>
    <w:rsid w:val="00E52557"/>
    <w:rsid w:val="00E75FC5"/>
    <w:rsid w:val="00E85A42"/>
    <w:rsid w:val="00E9504E"/>
    <w:rsid w:val="00EB42CE"/>
    <w:rsid w:val="00EB6C58"/>
    <w:rsid w:val="00EC44F0"/>
    <w:rsid w:val="00ED34FB"/>
    <w:rsid w:val="00F27D00"/>
    <w:rsid w:val="00F40778"/>
    <w:rsid w:val="00F50262"/>
    <w:rsid w:val="00F559D7"/>
    <w:rsid w:val="00FA104E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94ADC-C9B6-4186-AC41-30B37339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kolegova</cp:lastModifiedBy>
  <cp:revision>12</cp:revision>
  <cp:lastPrinted>2021-02-25T04:29:00Z</cp:lastPrinted>
  <dcterms:created xsi:type="dcterms:W3CDTF">2020-12-17T04:54:00Z</dcterms:created>
  <dcterms:modified xsi:type="dcterms:W3CDTF">2022-04-01T03:02:00Z</dcterms:modified>
</cp:coreProperties>
</file>