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AA" w:rsidRPr="009656AA" w:rsidRDefault="009656AA" w:rsidP="009656AA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9656AA">
        <w:rPr>
          <w:caps/>
          <w:lang w:val="en-US"/>
        </w:rPr>
        <w:t>II</w:t>
      </w:r>
      <w:r w:rsidRPr="009656AA">
        <w:rPr>
          <w:caps/>
        </w:rPr>
        <w:t>. Анализ текущей ситуации</w:t>
      </w:r>
    </w:p>
    <w:p w:rsidR="009656AA" w:rsidRPr="009656AA" w:rsidRDefault="009656AA" w:rsidP="009656AA"/>
    <w:p w:rsidR="009656AA" w:rsidRPr="009656AA" w:rsidRDefault="009656AA" w:rsidP="009656AA">
      <w:pPr>
        <w:ind w:firstLine="539"/>
        <w:jc w:val="both"/>
      </w:pPr>
      <w:r w:rsidRPr="009656AA">
        <w:t xml:space="preserve">Подпрограмма </w:t>
      </w:r>
      <w:r w:rsidR="00E557A8">
        <w:t>«</w:t>
      </w:r>
      <w:r w:rsidRPr="009656AA">
        <w:t>Газификация Томска</w:t>
      </w:r>
      <w:r w:rsidR="00E557A8">
        <w:t>»</w:t>
      </w:r>
      <w:r w:rsidRPr="009656AA">
        <w:t xml:space="preserve"> разработана в соответствии с </w:t>
      </w:r>
      <w:r w:rsidRPr="009656AA">
        <w:rPr>
          <w:spacing w:val="3"/>
        </w:rPr>
        <w:t>Генеральным планом муниципального образования «Город Томск»</w:t>
      </w:r>
      <w:r w:rsidRPr="009656AA">
        <w:rPr>
          <w:spacing w:val="1"/>
        </w:rPr>
        <w:t>,</w:t>
      </w:r>
      <w:r w:rsidRPr="009656AA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9656AA">
        <w:rPr>
          <w:bCs/>
          <w:color w:val="000000"/>
        </w:rPr>
        <w:t>постановлением администрации Томской области от 27.09.2019 № 346а «Об утверждении государственной программы «Развитие коммунальной инфраструктуры в Томской области».</w:t>
      </w:r>
    </w:p>
    <w:p w:rsidR="00D17CAA" w:rsidRDefault="00D17CAA" w:rsidP="00D17CAA">
      <w:pPr>
        <w:ind w:firstLine="720"/>
        <w:jc w:val="both"/>
      </w:pPr>
      <w:r>
        <w:t>В</w:t>
      </w:r>
      <w:r w:rsidRPr="00612833">
        <w:t xml:space="preserve"> Федеральный Закон № 69-ФЗ</w:t>
      </w:r>
      <w:r w:rsidR="00002354">
        <w:t xml:space="preserve"> от 31.03.1999</w:t>
      </w:r>
      <w:r w:rsidRPr="00612833">
        <w:t xml:space="preserve"> «О газоснабжении в Российской Федерации» внесены изменения, согласно которым решение вопросов газификации населённых пунктов возложено на Единого оператора газификации. Догазификацию домовладений производит Единый оператор газификации на безвозмездной основе до границ земельного участка. Представител</w:t>
      </w:r>
      <w:r>
        <w:t xml:space="preserve">ем </w:t>
      </w:r>
      <w:r w:rsidRPr="00612833">
        <w:t xml:space="preserve">Единого оператора газификации в Городе Томске является </w:t>
      </w:r>
      <w:r>
        <w:t>ООО «Газпром газораспределение Томск».</w:t>
      </w:r>
    </w:p>
    <w:p w:rsidR="00D17CAA" w:rsidRDefault="005C5145" w:rsidP="00D17CAA">
      <w:pPr>
        <w:ind w:firstLine="851"/>
        <w:jc w:val="both"/>
      </w:pPr>
      <w:r>
        <w:t>В связи с чем, в рамках муниципальной программы планируется реализовывать мероприятия, которые не подпадают по</w:t>
      </w:r>
      <w:r w:rsidR="00E557A8">
        <w:t>д</w:t>
      </w:r>
      <w:r>
        <w:t xml:space="preserve"> социальную догазификацию. В частности, перевод многоквартирных жилых домов с сжиженного газа на природный. А также </w:t>
      </w:r>
      <w:r w:rsidR="00E557A8">
        <w:t xml:space="preserve">мероприятия </w:t>
      </w:r>
      <w:r>
        <w:t>в рамках исполнения судебных решений.</w:t>
      </w:r>
    </w:p>
    <w:p w:rsidR="00B80D88" w:rsidRPr="00B80D88" w:rsidRDefault="00B80D88" w:rsidP="00B80D88">
      <w:pPr>
        <w:pStyle w:val="3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80D88">
        <w:rPr>
          <w:rFonts w:ascii="Times New Roman" w:eastAsia="Times New Roman" w:hAnsi="Times New Roman" w:cs="Times New Roman"/>
          <w:color w:val="auto"/>
        </w:rPr>
        <w:t>На территории Города Томска размещено 45 групповых установок сжиженного газа (далее – ГУСГ), которые обслуживают 82 многоквартирных жилых дома, протяженность сетей газопроводов от ГУСГ составляет 11,335 км. Деятельность по обслуживанию и наполнению ГУСГ осуществляет ООО «ТД ОАО Томскоблгаз».</w:t>
      </w:r>
    </w:p>
    <w:p w:rsidR="00B80D88" w:rsidRDefault="00B80D88" w:rsidP="00B80D88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B80D88">
        <w:rPr>
          <w:rFonts w:ascii="Times New Roman" w:eastAsia="Times New Roman" w:hAnsi="Times New Roman" w:cs="Times New Roman"/>
          <w:color w:val="auto"/>
        </w:rPr>
        <w:tab/>
        <w:t xml:space="preserve">В рамках подпрограммы </w:t>
      </w:r>
      <w:r w:rsidR="00E557A8" w:rsidRPr="00E557A8">
        <w:rPr>
          <w:rFonts w:ascii="Times New Roman" w:eastAsia="Times New Roman" w:hAnsi="Times New Roman" w:cs="Times New Roman"/>
          <w:color w:val="auto"/>
        </w:rPr>
        <w:t xml:space="preserve">«Газификация Томска» </w:t>
      </w:r>
      <w:r w:rsidR="00E557A8" w:rsidRPr="00B80D88">
        <w:rPr>
          <w:rFonts w:ascii="Times New Roman" w:eastAsia="Times New Roman" w:hAnsi="Times New Roman" w:cs="Times New Roman"/>
          <w:color w:val="auto"/>
        </w:rPr>
        <w:t>запланированы</w:t>
      </w:r>
      <w:r w:rsidRPr="00B80D88">
        <w:rPr>
          <w:rFonts w:ascii="Times New Roman" w:eastAsia="Times New Roman" w:hAnsi="Times New Roman" w:cs="Times New Roman"/>
          <w:color w:val="auto"/>
        </w:rPr>
        <w:t xml:space="preserve"> мероприятия по замене сжиженного газа на природный, путем подключения жилых домов к централизованным сетям газоснабжения.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43"/>
        <w:gridCol w:w="2268"/>
      </w:tblGrid>
      <w:tr w:rsidR="00262F36" w:rsidRPr="00262F36" w:rsidTr="00F34274">
        <w:trPr>
          <w:trHeight w:val="773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b/>
              </w:rPr>
            </w:pPr>
            <w:r w:rsidRPr="00262F36">
              <w:rPr>
                <w:b/>
              </w:rPr>
              <w:t>№</w:t>
            </w:r>
          </w:p>
          <w:p w:rsidR="00262F36" w:rsidRPr="00262F36" w:rsidRDefault="00262F36" w:rsidP="005F15FB">
            <w:pPr>
              <w:jc w:val="center"/>
              <w:rPr>
                <w:b/>
              </w:rPr>
            </w:pPr>
            <w:r w:rsidRPr="00262F36">
              <w:rPr>
                <w:b/>
              </w:rPr>
              <w:t>п/п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b/>
              </w:rPr>
            </w:pPr>
            <w:r w:rsidRPr="00262F36">
              <w:rPr>
                <w:b/>
              </w:rPr>
              <w:t xml:space="preserve">Адрес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b/>
              </w:rPr>
            </w:pPr>
            <w:r w:rsidRPr="00262F36">
              <w:rPr>
                <w:b/>
              </w:rPr>
              <w:t xml:space="preserve">Протяжённость г/п. 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пр. </w:t>
            </w:r>
            <w:r w:rsidRPr="00262F36">
              <w:t xml:space="preserve">Фрунзе, 216, 218, 220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310,1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Северный городок, 49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900,7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Пушкина, </w:t>
            </w:r>
            <w:r w:rsidRPr="00262F36">
              <w:t>52,52а,52б,52в,52г,52д,54,54б,56</w:t>
            </w:r>
          </w:p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="00E557A8">
              <w:t>Железно</w:t>
            </w:r>
            <w:r w:rsidRPr="00262F36">
              <w:t>дорожная</w:t>
            </w:r>
            <w:r>
              <w:t>,</w:t>
            </w:r>
            <w:r w:rsidRPr="00262F36">
              <w:t xml:space="preserve"> 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1285,5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4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пр. </w:t>
            </w:r>
            <w:r w:rsidRPr="00262F36">
              <w:t>Фрунзе, 105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360,8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5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Войкова, 70, 78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268,4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6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Новгородская, 42, 44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266,7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7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Железнодорожная, 7а, 11, 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304,0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34274" w:rsidRDefault="00F34274" w:rsidP="005F15FB">
            <w:pPr>
              <w:jc w:val="both"/>
            </w:pPr>
          </w:p>
          <w:p w:rsidR="00262F36" w:rsidRPr="00262F36" w:rsidRDefault="00262F36" w:rsidP="005F15FB">
            <w:pPr>
              <w:jc w:val="both"/>
            </w:pPr>
            <w:r w:rsidRPr="00262F36">
              <w:t>8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F34274" w:rsidRDefault="00F34274" w:rsidP="005F15FB">
            <w:pPr>
              <w:jc w:val="both"/>
            </w:pPr>
          </w:p>
          <w:p w:rsidR="00262F36" w:rsidRPr="00262F36" w:rsidRDefault="00262F36" w:rsidP="005F15FB">
            <w:pPr>
              <w:jc w:val="both"/>
            </w:pPr>
            <w:r>
              <w:t xml:space="preserve">пер. </w:t>
            </w:r>
            <w:r w:rsidRPr="00262F36">
              <w:t>Сакко, 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4274" w:rsidRDefault="00F34274" w:rsidP="005F15FB">
            <w:pPr>
              <w:jc w:val="center"/>
            </w:pPr>
          </w:p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107,2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lastRenderedPageBreak/>
              <w:t>9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ул. </w:t>
            </w:r>
            <w:r w:rsidRPr="00262F36">
              <w:rPr>
                <w:spacing w:val="-10"/>
              </w:rPr>
              <w:t>Р. Люксембург</w:t>
            </w:r>
            <w:r>
              <w:rPr>
                <w:spacing w:val="-10"/>
              </w:rPr>
              <w:t>,</w:t>
            </w:r>
            <w:r w:rsidRPr="00262F36">
              <w:rPr>
                <w:spacing w:val="-10"/>
              </w:rPr>
              <w:t xml:space="preserve"> 42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92,0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10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r>
              <w:t xml:space="preserve">пр. </w:t>
            </w:r>
            <w:r w:rsidRPr="00262F36">
              <w:t>Ленина, 6</w:t>
            </w:r>
          </w:p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Учебная, 19,23</w:t>
            </w:r>
            <w:r w:rsidRPr="00262F36">
              <w:rPr>
                <w:vertAlign w:val="superscript"/>
              </w:rPr>
              <w:t>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285,8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11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пр. </w:t>
            </w:r>
            <w:r w:rsidRPr="00262F36">
              <w:t>Ленина, 138</w:t>
            </w:r>
            <w:r w:rsidRPr="00262F36">
              <w:rPr>
                <w:vertAlign w:val="superscript"/>
              </w:rPr>
              <w:t>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70,0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12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пр. </w:t>
            </w:r>
            <w:r w:rsidRPr="00262F36">
              <w:t>Ленина, 10, 12</w:t>
            </w:r>
          </w:p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Учебная, 18</w:t>
            </w:r>
          </w:p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Тимакова, 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486,9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13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ул. </w:t>
            </w:r>
            <w:r w:rsidRPr="00262F36">
              <w:rPr>
                <w:spacing w:val="-10"/>
              </w:rPr>
              <w:t>Новгородская, 20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122,1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14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Говорова, 34,36 36</w:t>
            </w:r>
            <w:r w:rsidRPr="00262F36">
              <w:rPr>
                <w:vertAlign w:val="superscript"/>
              </w:rPr>
              <w:t>а</w:t>
            </w:r>
            <w:r w:rsidRPr="00262F36">
              <w:t xml:space="preserve">, 38 </w:t>
            </w:r>
          </w:p>
          <w:p w:rsidR="00262F36" w:rsidRPr="00262F36" w:rsidRDefault="00262F36" w:rsidP="00262F36">
            <w:pPr>
              <w:jc w:val="both"/>
            </w:pPr>
            <w:r>
              <w:t xml:space="preserve">ул. </w:t>
            </w:r>
            <w:r w:rsidRPr="00262F36">
              <w:t>79-я Гв.</w:t>
            </w:r>
            <w:r>
              <w:t xml:space="preserve"> </w:t>
            </w:r>
            <w:r w:rsidRPr="00262F36">
              <w:t>Див</w:t>
            </w:r>
            <w:r>
              <w:t>изии</w:t>
            </w:r>
            <w:r w:rsidRPr="00262F36">
              <w:t>, 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716,3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33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15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пр. </w:t>
            </w:r>
            <w:r w:rsidRPr="00262F36">
              <w:t>Фрунзе</w:t>
            </w:r>
            <w:r>
              <w:t>,</w:t>
            </w:r>
            <w:r w:rsidRPr="00262F36">
              <w:t xml:space="preserve"> 65а</w:t>
            </w:r>
          </w:p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Герцена</w:t>
            </w:r>
            <w:r>
              <w:t>,</w:t>
            </w:r>
            <w:r w:rsidRPr="00262F36">
              <w:t xml:space="preserve"> 54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267,5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16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Тимакова</w:t>
            </w:r>
            <w:r>
              <w:t>,</w:t>
            </w:r>
            <w:r w:rsidRPr="00262F36">
              <w:t xml:space="preserve"> 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125,2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17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Савиных</w:t>
            </w:r>
            <w:r>
              <w:t>,</w:t>
            </w:r>
            <w:r w:rsidRPr="00262F36">
              <w:t xml:space="preserve"> 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56,3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18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Кулагина, 45</w:t>
            </w:r>
          </w:p>
          <w:p w:rsidR="00262F36" w:rsidRPr="00262F36" w:rsidRDefault="00262F36" w:rsidP="005F15FB">
            <w:pPr>
              <w:jc w:val="both"/>
            </w:pPr>
            <w:r>
              <w:t xml:space="preserve">пер. </w:t>
            </w:r>
            <w:r w:rsidRPr="00262F36">
              <w:t>Фруктовый, 28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150,4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19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>
              <w:t xml:space="preserve">ул. </w:t>
            </w:r>
            <w:r w:rsidRPr="00262F36">
              <w:t>Вершинина 18</w:t>
            </w:r>
            <w:r w:rsidRPr="00262F36">
              <w:rPr>
                <w:vertAlign w:val="superscript"/>
              </w:rPr>
              <w:t>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60,0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20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Трамвайная, 1, 3, 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415,5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21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Советская 7</w:t>
            </w:r>
            <w:r w:rsidR="00262F36" w:rsidRPr="00262F36">
              <w:rPr>
                <w:vertAlign w:val="superscript"/>
              </w:rPr>
              <w:t>а</w:t>
            </w:r>
            <w:r w:rsidR="00262F36" w:rsidRPr="00262F36">
              <w:t>, 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138,8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22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>ул. С.</w:t>
            </w:r>
            <w:r w:rsidR="00262F36" w:rsidRPr="00262F36">
              <w:t>Лазо</w:t>
            </w:r>
            <w:r>
              <w:t>,</w:t>
            </w:r>
            <w:r w:rsidR="00262F36" w:rsidRPr="00262F36">
              <w:t xml:space="preserve"> 14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105,4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23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Советская, 46, 48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360,8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24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К. Маркса, 42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174,6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25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Д.</w:t>
            </w:r>
            <w:r>
              <w:t xml:space="preserve"> </w:t>
            </w:r>
            <w:r w:rsidR="00262F36" w:rsidRPr="00262F36">
              <w:t>Ключевская</w:t>
            </w:r>
            <w:r>
              <w:t>,</w:t>
            </w:r>
            <w:r w:rsidR="00262F36" w:rsidRPr="00262F36">
              <w:t xml:space="preserve"> 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228,3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26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пр. </w:t>
            </w:r>
            <w:r w:rsidR="00262F36" w:rsidRPr="00262F36">
              <w:t>Ленина, 114</w:t>
            </w:r>
          </w:p>
          <w:p w:rsidR="00262F36" w:rsidRPr="00262F36" w:rsidRDefault="00214308" w:rsidP="005F15FB">
            <w:pPr>
              <w:jc w:val="both"/>
            </w:pPr>
            <w:r>
              <w:t xml:space="preserve">пер. </w:t>
            </w:r>
            <w:r w:rsidR="00262F36" w:rsidRPr="00262F36">
              <w:t>Красный, 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279,3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27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пер. </w:t>
            </w:r>
            <w:r w:rsidR="00262F36" w:rsidRPr="00262F36">
              <w:t>Пристанской</w:t>
            </w:r>
            <w:r>
              <w:t>,</w:t>
            </w:r>
            <w:r w:rsidR="00262F36" w:rsidRPr="00262F36">
              <w:t xml:space="preserve"> 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139,0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28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К.</w:t>
            </w:r>
            <w:r>
              <w:t xml:space="preserve"> </w:t>
            </w:r>
            <w:r w:rsidR="00262F36" w:rsidRPr="00262F36">
              <w:t>Маркса</w:t>
            </w:r>
            <w:r>
              <w:t>,</w:t>
            </w:r>
            <w:r w:rsidR="00262F36" w:rsidRPr="00262F36">
              <w:t xml:space="preserve"> 24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105,0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29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Сибирская</w:t>
            </w:r>
            <w:r>
              <w:t>,</w:t>
            </w:r>
            <w:r w:rsidR="00262F36" w:rsidRPr="00262F36">
              <w:t xml:space="preserve"> 90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241,9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30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пр. </w:t>
            </w:r>
            <w:r w:rsidR="00262F36" w:rsidRPr="00262F36">
              <w:t>Ленина</w:t>
            </w:r>
            <w:r>
              <w:t>,</w:t>
            </w:r>
            <w:r w:rsidR="00262F36" w:rsidRPr="00262F36">
              <w:t xml:space="preserve"> 235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69,8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31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пер. </w:t>
            </w:r>
            <w:r w:rsidR="00262F36" w:rsidRPr="00262F36">
              <w:t>Новый, 1</w:t>
            </w:r>
          </w:p>
          <w:p w:rsidR="00262F36" w:rsidRPr="00262F36" w:rsidRDefault="00214308" w:rsidP="00214308">
            <w:pPr>
              <w:jc w:val="both"/>
            </w:pPr>
            <w:r>
              <w:t xml:space="preserve">ул. </w:t>
            </w:r>
            <w:r w:rsidR="00262F36" w:rsidRPr="00262F36">
              <w:t>79-я Гв.</w:t>
            </w:r>
            <w:r>
              <w:t xml:space="preserve"> </w:t>
            </w:r>
            <w:r w:rsidR="00262F36" w:rsidRPr="00262F36">
              <w:t>Див</w:t>
            </w:r>
            <w:r>
              <w:t>изии,</w:t>
            </w:r>
            <w:r w:rsidR="00262F36" w:rsidRPr="00262F36">
              <w:t xml:space="preserve"> 3, 5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</w:pPr>
            <w:r w:rsidRPr="00262F36">
              <w:t>426,3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32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Нахимова</w:t>
            </w:r>
            <w:r>
              <w:t>,</w:t>
            </w:r>
            <w:r w:rsidR="00262F36" w:rsidRPr="00262F36">
              <w:t xml:space="preserve"> 20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226,9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33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пер. </w:t>
            </w:r>
            <w:r w:rsidR="00262F36" w:rsidRPr="00262F36">
              <w:t>Переездный</w:t>
            </w:r>
            <w:r>
              <w:t>,</w:t>
            </w:r>
            <w:r w:rsidR="00262F36" w:rsidRPr="00262F36">
              <w:t xml:space="preserve"> 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101,8</w:t>
            </w:r>
          </w:p>
        </w:tc>
      </w:tr>
      <w:tr w:rsidR="00262F36" w:rsidRPr="00262F36" w:rsidTr="00F34274">
        <w:trPr>
          <w:trHeight w:val="29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34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214308">
            <w:pPr>
              <w:jc w:val="both"/>
            </w:pPr>
            <w:r>
              <w:t xml:space="preserve">ул. </w:t>
            </w:r>
            <w:r w:rsidR="00262F36" w:rsidRPr="00262F36">
              <w:t>Г</w:t>
            </w:r>
            <w:r>
              <w:t>ероев</w:t>
            </w:r>
            <w:r w:rsidR="00262F36" w:rsidRPr="00262F36">
              <w:t xml:space="preserve"> Чубаровцев,</w:t>
            </w:r>
            <w:r>
              <w:t xml:space="preserve"> </w:t>
            </w:r>
            <w:r w:rsidR="00262F36" w:rsidRPr="00262F36">
              <w:t>24, 26.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212,3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35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пер. </w:t>
            </w:r>
            <w:r w:rsidR="00262F36" w:rsidRPr="00262F36">
              <w:t>Шумихинский</w:t>
            </w:r>
            <w:r>
              <w:t>,</w:t>
            </w:r>
            <w:r w:rsidR="00262F36" w:rsidRPr="00262F36">
              <w:t xml:space="preserve"> 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145,0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36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пер. </w:t>
            </w:r>
            <w:r w:rsidR="00262F36" w:rsidRPr="00262F36">
              <w:t>Красный, 4,5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265,9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37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пер. </w:t>
            </w:r>
            <w:r w:rsidR="00262F36" w:rsidRPr="00262F36">
              <w:t>Шпальный, 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105,3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38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Рабочая, 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178,0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39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Лыткина, 4, 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259,0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40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пер. </w:t>
            </w:r>
            <w:r w:rsidR="00262F36" w:rsidRPr="00262F36">
              <w:t>Макрушина, 14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140,0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41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Герцена</w:t>
            </w:r>
            <w:r>
              <w:t>,</w:t>
            </w:r>
            <w:r w:rsidR="00262F36" w:rsidRPr="00262F36">
              <w:t xml:space="preserve"> 15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158,0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42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Иркутский тр-т., 94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128,1</w:t>
            </w:r>
          </w:p>
        </w:tc>
      </w:tr>
      <w:tr w:rsidR="00262F36" w:rsidRPr="00262F36" w:rsidTr="00F34274">
        <w:trPr>
          <w:trHeight w:val="2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43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Кулагина, 37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155,0</w:t>
            </w:r>
          </w:p>
        </w:tc>
      </w:tr>
      <w:tr w:rsidR="00262F36" w:rsidRPr="00262F36" w:rsidTr="00F34274">
        <w:trPr>
          <w:trHeight w:val="30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44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Учебная, 12</w:t>
            </w:r>
          </w:p>
          <w:p w:rsidR="00F34274" w:rsidRPr="00262F36" w:rsidRDefault="00F34274" w:rsidP="005F15FB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93,1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</w:pPr>
            <w:r w:rsidRPr="00262F36">
              <w:t>45</w:t>
            </w:r>
          </w:p>
        </w:tc>
        <w:tc>
          <w:tcPr>
            <w:tcW w:w="6243" w:type="dxa"/>
            <w:vMerge w:val="restart"/>
            <w:shd w:val="clear" w:color="auto" w:fill="auto"/>
            <w:vAlign w:val="center"/>
          </w:tcPr>
          <w:p w:rsidR="00262F36" w:rsidRPr="00262F36" w:rsidRDefault="00214308" w:rsidP="005F15FB">
            <w:pPr>
              <w:jc w:val="both"/>
            </w:pPr>
            <w:r>
              <w:t xml:space="preserve">ул. </w:t>
            </w:r>
            <w:r w:rsidR="00262F36" w:rsidRPr="00262F36">
              <w:t>Гоголя, 29, 29а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  <w:r w:rsidRPr="00262F36">
              <w:t>246,2</w:t>
            </w: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  <w:tr w:rsidR="00262F36" w:rsidRPr="00262F36" w:rsidTr="00F34274">
        <w:trPr>
          <w:trHeight w:val="27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6243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2F36" w:rsidRPr="00262F36" w:rsidRDefault="00262F36" w:rsidP="005F15FB">
            <w:pPr>
              <w:jc w:val="center"/>
              <w:rPr>
                <w:highlight w:val="yellow"/>
              </w:rPr>
            </w:pPr>
          </w:p>
        </w:tc>
      </w:tr>
    </w:tbl>
    <w:p w:rsidR="00262F36" w:rsidRDefault="00262F36" w:rsidP="00262F36"/>
    <w:p w:rsidR="00B80D88" w:rsidRPr="00B80D88" w:rsidRDefault="00B80D88" w:rsidP="00B80D88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B80D88">
        <w:rPr>
          <w:rFonts w:ascii="Times New Roman" w:eastAsia="Times New Roman" w:hAnsi="Times New Roman" w:cs="Times New Roman"/>
          <w:color w:val="auto"/>
        </w:rPr>
        <w:tab/>
        <w:t xml:space="preserve">В 2015-2017 годах в рамках муниципальной программы </w:t>
      </w:r>
      <w:r w:rsidR="00077216" w:rsidRPr="00077216">
        <w:rPr>
          <w:rFonts w:ascii="Times New Roman" w:eastAsia="Times New Roman" w:hAnsi="Times New Roman" w:cs="Times New Roman"/>
          <w:color w:val="auto"/>
        </w:rPr>
        <w:t>«Развитие инженерной инфраструктуры для обеспечения населения коммунальными услугами на 2015-2025 годы»</w:t>
      </w:r>
      <w:r w:rsidR="00077216">
        <w:rPr>
          <w:rFonts w:ascii="Times New Roman" w:eastAsia="Times New Roman" w:hAnsi="Times New Roman" w:cs="Times New Roman"/>
          <w:color w:val="auto"/>
        </w:rPr>
        <w:t xml:space="preserve"> </w:t>
      </w:r>
      <w:r w:rsidRPr="00B80D88">
        <w:rPr>
          <w:rFonts w:ascii="Times New Roman" w:eastAsia="Times New Roman" w:hAnsi="Times New Roman" w:cs="Times New Roman"/>
          <w:color w:val="auto"/>
        </w:rPr>
        <w:t>реализовано мероприятие «Замена СУГ (сжиженный газ) на природный г. Томск, Кировский район (район ул. Матросова - ул. Киевская - ул. Усова)» (Список жилых домов, подлежащих переключению: ул. Киевская, 86а; ул. Киевская, 88а; ул. Киевская, 86б; ул. Щорса, 13; ул. Киевская, 86в; ул. Киевская, 109/2; ул. Усова, 21; ул. Усова, 12; ул. Усова, 23; ул. Усова, 25/1; ул. Усова, 25/2; ул. Кирова, 39а; ул. Дзержинского, 60а; ул. Дзержинского, 59; ул. Усова, 40; ул. Усова, 42; ул. Усова, 44; ул. Красноармейская, 87; ул. Красноармейская, 89а; ул. Студенческая, 5; ул. Студенческая, 5а; ул. Студенческая, 7).</w:t>
      </w:r>
    </w:p>
    <w:p w:rsidR="005C5145" w:rsidRPr="00B80D88" w:rsidRDefault="00B80D88" w:rsidP="00B80D88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B80D88">
        <w:rPr>
          <w:rFonts w:ascii="Times New Roman" w:eastAsia="Times New Roman" w:hAnsi="Times New Roman" w:cs="Times New Roman"/>
          <w:color w:val="auto"/>
        </w:rPr>
        <w:tab/>
      </w:r>
      <w:r w:rsidR="005C5145" w:rsidRPr="00B80D88">
        <w:rPr>
          <w:rFonts w:ascii="Times New Roman" w:eastAsia="Times New Roman" w:hAnsi="Times New Roman" w:cs="Times New Roman"/>
          <w:color w:val="auto"/>
        </w:rPr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D17CAA" w:rsidRDefault="00D17CAA" w:rsidP="009656AA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77216" w:rsidRPr="00077216" w:rsidRDefault="00077216" w:rsidP="00077216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077216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Сравнительный анализ динамики значений показателей социально-экономического развития, в сравнении с показателями основных административных центров Сибирского федерального округа </w:t>
      </w:r>
    </w:p>
    <w:p w:rsidR="00077216" w:rsidRPr="00077216" w:rsidRDefault="00793231" w:rsidP="00793231">
      <w:pPr>
        <w:tabs>
          <w:tab w:val="left" w:pos="0"/>
        </w:tabs>
        <w:autoSpaceDE w:val="0"/>
        <w:autoSpaceDN w:val="0"/>
        <w:ind w:firstLine="709"/>
        <w:jc w:val="both"/>
      </w:pPr>
      <w:r>
        <w:t>Основными показателями данной подпрограммы являются показатели «</w:t>
      </w:r>
      <w:r w:rsidRPr="00793231">
        <w:t>Снижение уровня газификации муниципального образования «Город Томск» сжиж</w:t>
      </w:r>
      <w:r>
        <w:t>енным углеводородным газом, шт.» и «</w:t>
      </w:r>
      <w:r w:rsidRPr="00793231">
        <w:t>Увеличение уровня газификации муниципального образования «Город Томск» природным газом, шт.</w:t>
      </w:r>
      <w:r>
        <w:t xml:space="preserve">». На период действия Программы </w:t>
      </w:r>
      <w:r w:rsidR="00646AE2">
        <w:t xml:space="preserve">до 2030 года </w:t>
      </w:r>
      <w:r>
        <w:t>определено</w:t>
      </w:r>
      <w:r w:rsidR="00646AE2">
        <w:t>,</w:t>
      </w:r>
      <w:r>
        <w:t xml:space="preserve"> что в муниципальном образовании «Город Томск» необходимо перевести 82 многоквартирных дома с сжиженного газа на природный</w:t>
      </w:r>
      <w:r w:rsidR="00646AE2">
        <w:t>.</w:t>
      </w:r>
    </w:p>
    <w:p w:rsidR="00077216" w:rsidRPr="00077216" w:rsidRDefault="00077216" w:rsidP="00077216">
      <w:pPr>
        <w:ind w:firstLine="709"/>
        <w:jc w:val="both"/>
      </w:pPr>
      <w:r w:rsidRPr="00077216">
        <w:t>В связи с тем, что вышеназванные показатели не являются стратегическими, данные по этим показателям в сравнении</w:t>
      </w:r>
      <w:r w:rsidRPr="00077216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077216">
        <w:rPr>
          <w:rFonts w:ascii="Times New Roman CYR" w:eastAsiaTheme="minorHAnsi" w:hAnsi="Times New Roman CYR" w:cs="Times New Roman CYR"/>
          <w:color w:val="000000"/>
          <w:lang w:eastAsia="en-US"/>
        </w:rPr>
        <w:t>с</w:t>
      </w:r>
      <w:r w:rsidRPr="00077216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077216">
        <w:rPr>
          <w:rFonts w:ascii="Times New Roman CYR" w:eastAsiaTheme="minorHAnsi" w:hAnsi="Times New Roman CYR" w:cs="Times New Roman CYR"/>
          <w:color w:val="000000"/>
          <w:lang w:eastAsia="en-US"/>
        </w:rPr>
        <w:t>показателями основных административных центров Сибирского федерального округа отсутствуют.</w:t>
      </w: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9656AA" w:rsidRPr="00DA1A23" w:rsidRDefault="009656AA" w:rsidP="009656AA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ind w:firstLine="709"/>
        <w:jc w:val="both"/>
      </w:pPr>
      <w:r>
        <w:t>Так как мероприятия П</w:t>
      </w:r>
      <w:r w:rsidRPr="00DA1A23">
        <w:t>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9656AA" w:rsidRPr="00DA1A23" w:rsidRDefault="009656AA" w:rsidP="009656AA">
      <w:pPr>
        <w:ind w:firstLine="709"/>
        <w:jc w:val="both"/>
      </w:pPr>
      <w:r w:rsidRPr="00DA1A23">
        <w:t>- возникновения дестабилизирующих общественных процессов;</w:t>
      </w:r>
    </w:p>
    <w:p w:rsidR="009656AA" w:rsidRPr="00DA1A23" w:rsidRDefault="009656AA" w:rsidP="009656AA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9656AA" w:rsidRPr="00DA1A23" w:rsidRDefault="00E557A8" w:rsidP="009656AA">
      <w:pPr>
        <w:ind w:firstLine="709"/>
        <w:jc w:val="both"/>
      </w:pPr>
      <w:r>
        <w:t xml:space="preserve">- </w:t>
      </w:r>
      <w:r w:rsidR="009656AA" w:rsidRPr="00DA1A23">
        <w:t>снижения объема финансирования по муниципальной программе в результате ухудшения финансового положения муниципального образования «Город Томск» и пересмотра параметров соответствующего бюджета.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9656AA" w:rsidRPr="00DA1A23" w:rsidRDefault="009656AA" w:rsidP="009656AA">
      <w:pPr>
        <w:ind w:firstLine="708"/>
        <w:jc w:val="both"/>
      </w:pPr>
      <w:r w:rsidRPr="00DA1A23">
        <w:t>Показ</w:t>
      </w:r>
      <w:r>
        <w:t>атели цели, задач, мероприятий П</w:t>
      </w:r>
      <w:r w:rsidRPr="00DA1A23">
        <w:t xml:space="preserve">одпрограммы представлены в приложении 1 к </w:t>
      </w:r>
      <w:r>
        <w:t>П</w:t>
      </w:r>
      <w:r w:rsidRPr="00DA1A23">
        <w:t>одпро</w:t>
      </w:r>
      <w:r w:rsidR="00E557A8">
        <w:t>грамме «Газификация Томска</w:t>
      </w:r>
      <w:r w:rsidRPr="00DA1A23">
        <w:t xml:space="preserve">».  </w:t>
      </w:r>
    </w:p>
    <w:p w:rsidR="00214308" w:rsidRDefault="00214308" w:rsidP="00214308">
      <w:pPr>
        <w:jc w:val="both"/>
      </w:pPr>
      <w:r>
        <w:tab/>
        <w:t>Перевод многоквартирных домов с сжиженного газа на природный.</w:t>
      </w:r>
    </w:p>
    <w:p w:rsidR="00214308" w:rsidRDefault="009656AA" w:rsidP="009656AA">
      <w:pPr>
        <w:ind w:firstLine="708"/>
        <w:jc w:val="both"/>
      </w:pPr>
      <w:r w:rsidRPr="00DA1A23">
        <w:t>По состоянию на 01.0</w:t>
      </w:r>
      <w:r w:rsidR="00214308">
        <w:t>7</w:t>
      </w:r>
      <w:r w:rsidRPr="00DA1A23">
        <w:t>.20</w:t>
      </w:r>
      <w:r w:rsidR="00214308">
        <w:t>23</w:t>
      </w:r>
      <w:r w:rsidRPr="00DA1A23">
        <w:t xml:space="preserve"> на территории муниципального образования «Город Томск» общее число </w:t>
      </w:r>
      <w:r w:rsidR="00214308" w:rsidRPr="00DA1A23">
        <w:t>жилых домов,</w:t>
      </w:r>
      <w:r w:rsidR="00214308">
        <w:t xml:space="preserve"> обслуживаемых сжиженным газом</w:t>
      </w:r>
      <w:r w:rsidRPr="00DA1A23">
        <w:t xml:space="preserve"> </w:t>
      </w:r>
      <w:r w:rsidR="00214308">
        <w:t>– 82 МКД.</w:t>
      </w:r>
    </w:p>
    <w:p w:rsidR="0054315F" w:rsidRDefault="0054315F" w:rsidP="009656AA">
      <w:pPr>
        <w:ind w:firstLine="708"/>
        <w:jc w:val="both"/>
      </w:pPr>
      <w:r>
        <w:t>Решением суда на администрацию Города Томска возложена обязанность осуществить газоснабжение земельных участков, исполнение решений суда будет осуществляться в рамках данной подпрограммы.</w:t>
      </w:r>
    </w:p>
    <w:p w:rsidR="009656AA" w:rsidRPr="00DA1A23" w:rsidRDefault="009656AA" w:rsidP="009656AA">
      <w:pPr>
        <w:pStyle w:val="ConsPlusTitle"/>
        <w:shd w:val="clear" w:color="auto" w:fill="FFFFFF"/>
        <w:rPr>
          <w:b w:val="0"/>
          <w:bCs w:val="0"/>
        </w:rPr>
      </w:pPr>
      <w:bookmarkStart w:id="0" w:name="_GoBack"/>
      <w:bookmarkEnd w:id="0"/>
    </w:p>
    <w:p w:rsidR="009656AA" w:rsidRPr="00DA1A23" w:rsidRDefault="009656AA" w:rsidP="009656AA">
      <w:pPr>
        <w:pStyle w:val="20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  <w:r>
        <w:rPr>
          <w:caps/>
          <w:lang w:val="en-US"/>
        </w:rPr>
        <w:t>IV</w:t>
      </w:r>
      <w:r>
        <w:rPr>
          <w:caps/>
        </w:rPr>
        <w:t xml:space="preserve">. </w:t>
      </w:r>
      <w:r w:rsidR="00E557A8">
        <w:rPr>
          <w:caps/>
        </w:rPr>
        <w:t>Перечень мероприятий и</w:t>
      </w:r>
      <w:r w:rsidRPr="00DA1A23">
        <w:rPr>
          <w:caps/>
        </w:rPr>
        <w:t xml:space="preserve"> экономическое обоснование</w:t>
      </w:r>
    </w:p>
    <w:p w:rsidR="009656AA" w:rsidRPr="00DA1A23" w:rsidRDefault="009656AA" w:rsidP="009656AA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9656AA" w:rsidRDefault="009656AA" w:rsidP="009656AA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9656AA" w:rsidRPr="00775DE1" w:rsidRDefault="009656AA" w:rsidP="009656AA">
      <w:pPr>
        <w:suppressAutoHyphens/>
        <w:ind w:firstLine="600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3 к муниципальной программе </w:t>
      </w:r>
      <w:r w:rsidR="00E557A8">
        <w:t>«</w:t>
      </w:r>
      <w:r w:rsidRPr="00775DE1">
        <w:t>«Развитие инженерной инфраструктуры для обеспечения населения коммунальными услугами</w:t>
      </w:r>
      <w:r w:rsidR="00E557A8">
        <w:t>»</w:t>
      </w:r>
      <w:r w:rsidRPr="00775DE1">
        <w:t xml:space="preserve"> на 20</w:t>
      </w:r>
      <w:r w:rsidR="00E557A8">
        <w:t>24</w:t>
      </w:r>
      <w:r w:rsidRPr="00775DE1">
        <w:t>-20</w:t>
      </w:r>
      <w:r w:rsidR="00E557A8">
        <w:t>30</w:t>
      </w:r>
      <w:r w:rsidRPr="00775DE1">
        <w:t xml:space="preserve"> годы»</w:t>
      </w:r>
      <w:r>
        <w:t>).</w:t>
      </w:r>
    </w:p>
    <w:p w:rsidR="009656AA" w:rsidRPr="00DA1A23" w:rsidRDefault="009656AA" w:rsidP="009656AA">
      <w:pPr>
        <w:ind w:firstLine="600"/>
        <w:jc w:val="both"/>
        <w:rPr>
          <w:bCs/>
        </w:rPr>
      </w:pPr>
      <w:r w:rsidRPr="00DA1A23">
        <w:rPr>
          <w:bCs/>
        </w:rPr>
        <w:t xml:space="preserve">В рамках реализации данной подпрограммы планируется проведение </w:t>
      </w:r>
      <w:r w:rsidR="00F27BB2" w:rsidRPr="00F27BB2">
        <w:rPr>
          <w:bCs/>
        </w:rPr>
        <w:t xml:space="preserve">                        </w:t>
      </w:r>
      <w:r w:rsidRPr="00DA1A23">
        <w:rPr>
          <w:bCs/>
        </w:rPr>
        <w:t>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</w:t>
      </w:r>
      <w:r w:rsidR="00F27BB2">
        <w:rPr>
          <w:bCs/>
        </w:rPr>
        <w:t xml:space="preserve">, строительно-монтажных работ, </w:t>
      </w:r>
      <w:r w:rsidRPr="00DA1A23">
        <w:rPr>
          <w:bCs/>
        </w:rPr>
        <w:t xml:space="preserve">по строительству, капитальному ремонту сетей газоснабжения, приобретение в муниципальную </w:t>
      </w:r>
      <w:r w:rsidR="00F34274" w:rsidRPr="00DA1A23">
        <w:rPr>
          <w:bCs/>
        </w:rPr>
        <w:t>собственность сетей</w:t>
      </w:r>
      <w:r w:rsidRPr="00DA1A23">
        <w:rPr>
          <w:bCs/>
        </w:rPr>
        <w:t xml:space="preserve"> газоснабжения, а также корректировка ранее разработанной проектной документации.</w:t>
      </w:r>
    </w:p>
    <w:p w:rsidR="009656AA" w:rsidRPr="00DA1A23" w:rsidRDefault="009656AA" w:rsidP="009656AA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9656AA" w:rsidRPr="00DA1A23" w:rsidRDefault="009656AA" w:rsidP="009656AA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</w:t>
      </w:r>
      <w:r w:rsidR="00F34274" w:rsidRPr="00DA1A23">
        <w:t>также</w:t>
      </w:r>
      <w:r w:rsidRPr="00DA1A23">
        <w:t xml:space="preserve">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9656AA" w:rsidRPr="00DA1A23" w:rsidRDefault="009656AA" w:rsidP="00F27BB2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A1A23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</w:t>
      </w:r>
      <w:r w:rsidR="00E557A8">
        <w:rPr>
          <w:rFonts w:eastAsia="Calibri"/>
          <w:lang w:eastAsia="en-US"/>
        </w:rPr>
        <w:t>ом</w:t>
      </w:r>
      <w:r w:rsidRPr="00DA1A23">
        <w:rPr>
          <w:rFonts w:eastAsia="Calibri"/>
          <w:lang w:eastAsia="en-US"/>
        </w:rPr>
        <w:t xml:space="preserve"> капитального строительства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Выполнение работ по строительству, капитальному ремонту сетей газоснабжения предусмотрено в соответствии с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ресурсоснабжающим организациям         муниципального образования «Город Томск».</w:t>
      </w:r>
    </w:p>
    <w:p w:rsidR="009656AA" w:rsidRDefault="009656AA" w:rsidP="009656A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A6125" w:rsidRPr="00DA1A23" w:rsidRDefault="006A6125" w:rsidP="009656AA">
      <w:pPr>
        <w:suppressAutoHyphens/>
        <w:ind w:firstLine="540"/>
        <w:jc w:val="both"/>
      </w:pPr>
      <w:r w:rsidRPr="00FA71A7">
        <w:t>Кроме того, в соответствии с Федеральным законом от 31.03.1999 № 69-ФЗ «О газоснабжении в Российской Федерации» (с изменениями) часть мероприятий подпрограммы планируется выполнить Единым оператором газификации, полномочия которого в Томской области исполняет ООО «Га</w:t>
      </w:r>
      <w:r w:rsidR="000463B2" w:rsidRPr="00FA71A7">
        <w:t>зпром газораспределение Томск», в связи с чем, мероприятия, планируемые к исполнению вышеназванным обществом исключены из перечня мероприятий подпрограммы.</w:t>
      </w:r>
      <w:r w:rsidR="000463B2">
        <w:t xml:space="preserve"> </w:t>
      </w:r>
      <w:r>
        <w:t xml:space="preserve"> </w:t>
      </w:r>
    </w:p>
    <w:p w:rsidR="009656AA" w:rsidRPr="00DA1A23" w:rsidRDefault="009656AA" w:rsidP="009656AA">
      <w:pPr>
        <w:jc w:val="both"/>
        <w:rPr>
          <w:bCs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line="240" w:lineRule="auto"/>
        <w:ind w:left="900"/>
        <w:jc w:val="center"/>
        <w:rPr>
          <w:caps/>
        </w:rPr>
      </w:pPr>
      <w:r w:rsidRPr="00F71F9F">
        <w:rPr>
          <w:caps/>
          <w:lang w:val="en-US"/>
        </w:rPr>
        <w:t>V</w:t>
      </w:r>
      <w:r w:rsidRPr="00F71F9F">
        <w:rPr>
          <w:caps/>
        </w:rPr>
        <w:t>. Механизмы управления и контроля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Pr="00DA1A23">
        <w:t>одпрограммы является Заместитель Мэра Города Томска - начальник департамента городского хозяйства</w:t>
      </w:r>
      <w:r>
        <w:t xml:space="preserve"> администрации Города Томска</w:t>
      </w:r>
      <w:r w:rsidRPr="00DA1A23">
        <w:t>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>
        <w:t>ю софинансирования мероприятий П</w:t>
      </w:r>
      <w:r w:rsidRPr="00DA1A23">
        <w:t>одпрограммы осуществляется в рамках реализации государственной программы «Развитие коммунальной инфраструктуры в Томской области» (утверждена постановлением Администрации Томской области от 27.09.2019 № 346а.).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осуществляется в период с 20</w:t>
      </w:r>
      <w:r w:rsidR="009A639D">
        <w:t>24</w:t>
      </w:r>
      <w:r w:rsidRPr="00DA1A23">
        <w:t xml:space="preserve"> </w:t>
      </w:r>
      <w:r w:rsidRPr="00DA1A23">
        <w:rPr>
          <w:color w:val="0D0D0D"/>
        </w:rPr>
        <w:t>- 20</w:t>
      </w:r>
      <w:r w:rsidR="009A639D">
        <w:rPr>
          <w:color w:val="0D0D0D"/>
        </w:rPr>
        <w:t>30</w:t>
      </w:r>
      <w:r w:rsidRPr="00DA1A23">
        <w:rPr>
          <w:color w:val="0D0D0D"/>
        </w:rPr>
        <w:t xml:space="preserve">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Монитор</w:t>
      </w:r>
      <w:r>
        <w:t>инг и контроль хода реализации П</w:t>
      </w:r>
      <w:r w:rsidRPr="00DA1A23">
        <w:t>одпрограммы осуществляет департамент городского хозяйства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 xml:space="preserve">Департамент капитального строительства администрации Города Томска подаёт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выполнения. </w:t>
      </w:r>
    </w:p>
    <w:p w:rsidR="00BD200A" w:rsidRPr="00DA1A23" w:rsidRDefault="00BD200A" w:rsidP="00BD200A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>
        <w:t>Соисполнители П</w:t>
      </w:r>
      <w:r w:rsidRPr="00DA1A23">
        <w:t>одпрограммы предоставляют в адрес департамента городского хозяйства администрации Города Томска предварительные о</w:t>
      </w:r>
      <w:r>
        <w:t>тчеты о реализации мероприятий П</w:t>
      </w:r>
      <w:r w:rsidRPr="00DA1A23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p w:rsidR="00296B37" w:rsidRPr="00DA1A23" w:rsidRDefault="00296B37" w:rsidP="00BD200A">
      <w:pPr>
        <w:autoSpaceDE w:val="0"/>
        <w:autoSpaceDN w:val="0"/>
        <w:adjustRightInd w:val="0"/>
        <w:ind w:firstLine="600"/>
        <w:jc w:val="both"/>
      </w:pPr>
    </w:p>
    <w:sectPr w:rsidR="00296B37" w:rsidRPr="00DA1A23" w:rsidSect="00A563AD">
      <w:headerReference w:type="even" r:id="rId8"/>
      <w:pgSz w:w="11906" w:h="16838"/>
      <w:pgMar w:top="851" w:right="737" w:bottom="709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38" w:rsidRDefault="00770C38" w:rsidP="0041538E">
      <w:r>
        <w:separator/>
      </w:r>
    </w:p>
  </w:endnote>
  <w:endnote w:type="continuationSeparator" w:id="0">
    <w:p w:rsidR="00770C38" w:rsidRDefault="00770C38" w:rsidP="004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38" w:rsidRDefault="00770C38" w:rsidP="0041538E">
      <w:r>
        <w:separator/>
      </w:r>
    </w:p>
  </w:footnote>
  <w:footnote w:type="continuationSeparator" w:id="0">
    <w:p w:rsidR="00770C38" w:rsidRDefault="00770C38" w:rsidP="0041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25" w:rsidRDefault="00651CCC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1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125" w:rsidRDefault="006A61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 w15:restartNumberingAfterBreak="0">
    <w:nsid w:val="06C02A00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9" w15:restartNumberingAfterBreak="0">
    <w:nsid w:val="69DD06D7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F6"/>
    <w:rsid w:val="00001558"/>
    <w:rsid w:val="00001B6B"/>
    <w:rsid w:val="00002354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63B2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23DA"/>
    <w:rsid w:val="00074995"/>
    <w:rsid w:val="00077216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43C6"/>
    <w:rsid w:val="000B52BF"/>
    <w:rsid w:val="000B5816"/>
    <w:rsid w:val="000B72A4"/>
    <w:rsid w:val="000C1718"/>
    <w:rsid w:val="000C2970"/>
    <w:rsid w:val="000C3D42"/>
    <w:rsid w:val="000C56C7"/>
    <w:rsid w:val="000C62FE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5D08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2CF2"/>
    <w:rsid w:val="00137EC0"/>
    <w:rsid w:val="00144A44"/>
    <w:rsid w:val="00147837"/>
    <w:rsid w:val="00147E30"/>
    <w:rsid w:val="00147E3C"/>
    <w:rsid w:val="00147E66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4308"/>
    <w:rsid w:val="00216474"/>
    <w:rsid w:val="002167AE"/>
    <w:rsid w:val="00221EA1"/>
    <w:rsid w:val="00224671"/>
    <w:rsid w:val="0023258B"/>
    <w:rsid w:val="00234E4E"/>
    <w:rsid w:val="00235FB0"/>
    <w:rsid w:val="00236C6B"/>
    <w:rsid w:val="002424ED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2F36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00C4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35C3E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51C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3920"/>
    <w:rsid w:val="004B394D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315F"/>
    <w:rsid w:val="005446A6"/>
    <w:rsid w:val="00544BCB"/>
    <w:rsid w:val="0054652D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5145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1D52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46AE2"/>
    <w:rsid w:val="0065081C"/>
    <w:rsid w:val="00650C4D"/>
    <w:rsid w:val="00651CCC"/>
    <w:rsid w:val="00652613"/>
    <w:rsid w:val="00652731"/>
    <w:rsid w:val="00655449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125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B7A90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17161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0C38"/>
    <w:rsid w:val="007728A8"/>
    <w:rsid w:val="00773D5F"/>
    <w:rsid w:val="00773F1D"/>
    <w:rsid w:val="00774F2F"/>
    <w:rsid w:val="00776730"/>
    <w:rsid w:val="00776891"/>
    <w:rsid w:val="007771DC"/>
    <w:rsid w:val="00780B62"/>
    <w:rsid w:val="0078162A"/>
    <w:rsid w:val="00784F43"/>
    <w:rsid w:val="007877D9"/>
    <w:rsid w:val="0079057F"/>
    <w:rsid w:val="007914E7"/>
    <w:rsid w:val="00792072"/>
    <w:rsid w:val="0079239E"/>
    <w:rsid w:val="00792B95"/>
    <w:rsid w:val="00793231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C6182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236E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656AA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A1B4C"/>
    <w:rsid w:val="009A639D"/>
    <w:rsid w:val="009B0BB7"/>
    <w:rsid w:val="009B0D48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9F79B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3AD"/>
    <w:rsid w:val="00A564E3"/>
    <w:rsid w:val="00A64129"/>
    <w:rsid w:val="00A64FFF"/>
    <w:rsid w:val="00A6720A"/>
    <w:rsid w:val="00A67A18"/>
    <w:rsid w:val="00A67D69"/>
    <w:rsid w:val="00A7099E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4D08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2802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0D88"/>
    <w:rsid w:val="00B8166C"/>
    <w:rsid w:val="00B821B9"/>
    <w:rsid w:val="00B86755"/>
    <w:rsid w:val="00B904A3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00A"/>
    <w:rsid w:val="00BD2240"/>
    <w:rsid w:val="00BD41AC"/>
    <w:rsid w:val="00BD521E"/>
    <w:rsid w:val="00BD56E7"/>
    <w:rsid w:val="00BD59DF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17CAA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668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7A8"/>
    <w:rsid w:val="00E55D90"/>
    <w:rsid w:val="00E56163"/>
    <w:rsid w:val="00E6284E"/>
    <w:rsid w:val="00E62F71"/>
    <w:rsid w:val="00E661CA"/>
    <w:rsid w:val="00E66C37"/>
    <w:rsid w:val="00E66D11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A7695"/>
    <w:rsid w:val="00EB12C2"/>
    <w:rsid w:val="00EB440F"/>
    <w:rsid w:val="00EB690E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4B8A"/>
    <w:rsid w:val="00ED5A16"/>
    <w:rsid w:val="00ED5F0D"/>
    <w:rsid w:val="00ED6EB5"/>
    <w:rsid w:val="00EE04E9"/>
    <w:rsid w:val="00EE1BC2"/>
    <w:rsid w:val="00EE2351"/>
    <w:rsid w:val="00EE34AB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27BB2"/>
    <w:rsid w:val="00F337FB"/>
    <w:rsid w:val="00F34274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A04"/>
    <w:rsid w:val="00F71F9F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845BE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1A7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77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E8D922-3F16-427E-8D19-6436A754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80D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80D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6E885-0687-448A-BF0F-62BCBBBA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1700</Words>
  <Characters>12560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Анастасия Александровна Колегова</cp:lastModifiedBy>
  <cp:revision>9</cp:revision>
  <cp:lastPrinted>2023-09-12T03:23:00Z</cp:lastPrinted>
  <dcterms:created xsi:type="dcterms:W3CDTF">2023-08-14T03:37:00Z</dcterms:created>
  <dcterms:modified xsi:type="dcterms:W3CDTF">2023-09-12T03:23:00Z</dcterms:modified>
</cp:coreProperties>
</file>