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14" w:rsidRPr="00C35603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C35603">
        <w:t>ОБЩАЯ ХАРАКТЕ</w:t>
      </w:r>
      <w:r w:rsidR="000D7852" w:rsidRPr="00C35603">
        <w:t>РИСТИКА МУНИЦИПАЛЬНОЙ ПРОГРАММЫ</w:t>
      </w:r>
    </w:p>
    <w:p w:rsidR="00650414" w:rsidRPr="00C35603" w:rsidRDefault="00650414" w:rsidP="00650414"/>
    <w:p w:rsidR="00650414" w:rsidRPr="00C35603" w:rsidRDefault="00650414" w:rsidP="00650414">
      <w:pPr>
        <w:ind w:left="-6" w:firstLine="857"/>
        <w:jc w:val="both"/>
      </w:pPr>
      <w:r w:rsidRPr="00C35603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Default="00650414" w:rsidP="00650414">
      <w:pPr>
        <w:ind w:left="-6" w:firstLine="857"/>
        <w:jc w:val="both"/>
      </w:pPr>
      <w:r w:rsidRPr="00C35603">
        <w:t xml:space="preserve">В </w:t>
      </w:r>
      <w:r w:rsidR="0090311B" w:rsidRPr="00C35603">
        <w:t xml:space="preserve">муниципальном образовании «Город Томск» </w:t>
      </w:r>
      <w:r w:rsidRPr="00C35603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48355B" w:rsidRPr="00C35603" w:rsidRDefault="0048355B" w:rsidP="00650414">
      <w:pPr>
        <w:ind w:left="-6" w:firstLine="857"/>
        <w:jc w:val="both"/>
      </w:pPr>
    </w:p>
    <w:p w:rsidR="00EC44F0" w:rsidRPr="00C35603" w:rsidRDefault="00EC44F0" w:rsidP="00EC44F0">
      <w:pPr>
        <w:pStyle w:val="a4"/>
        <w:spacing w:after="0"/>
        <w:ind w:firstLine="715"/>
      </w:pPr>
    </w:p>
    <w:p w:rsidR="00EC44F0" w:rsidRPr="00C35603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C35603">
        <w:rPr>
          <w:b/>
        </w:rPr>
        <w:t>Система водоснабжения и водоотведения</w:t>
      </w:r>
    </w:p>
    <w:p w:rsidR="00EC44F0" w:rsidRPr="00C35603" w:rsidRDefault="00EC44F0" w:rsidP="00EC44F0">
      <w:pPr>
        <w:pStyle w:val="a4"/>
        <w:spacing w:after="0"/>
        <w:ind w:firstLine="715"/>
      </w:pPr>
    </w:p>
    <w:p w:rsidR="00EB31D3" w:rsidRPr="00C35603" w:rsidRDefault="00EC44F0" w:rsidP="00EB31D3">
      <w:pPr>
        <w:ind w:firstLine="715"/>
        <w:jc w:val="both"/>
      </w:pPr>
      <w:r w:rsidRPr="00C35603">
        <w:t xml:space="preserve">Система водоснабжения </w:t>
      </w:r>
      <w:r w:rsidR="0090311B" w:rsidRPr="00C35603">
        <w:t>муниципального образования «Город Томск»</w:t>
      </w:r>
      <w:r w:rsidRPr="00C35603">
        <w:t xml:space="preserve"> насчитывает </w:t>
      </w:r>
      <w:r w:rsidR="00EB31D3" w:rsidRPr="00C35603">
        <w:t>990,6</w:t>
      </w:r>
      <w:r w:rsidRPr="00C35603">
        <w:t xml:space="preserve"> км сетей водоснабжения</w:t>
      </w:r>
      <w:r w:rsidR="0049054F" w:rsidRPr="00C35603">
        <w:t xml:space="preserve"> (из них в муниципальной собственности – 100</w:t>
      </w:r>
      <w:r w:rsidR="00C82322" w:rsidRPr="00C35603">
        <w:t>%) и</w:t>
      </w:r>
      <w:r w:rsidRPr="00C35603">
        <w:t xml:space="preserve"> </w:t>
      </w:r>
      <w:r w:rsidR="00EB31D3" w:rsidRPr="00C35603">
        <w:t>647,7</w:t>
      </w:r>
      <w:r w:rsidRPr="00C35603">
        <w:t xml:space="preserve"> км сетей водоотведения</w:t>
      </w:r>
      <w:r w:rsidR="0049054F" w:rsidRPr="00C35603">
        <w:t xml:space="preserve"> (из них в муниципальной собственности – 91,5%)</w:t>
      </w:r>
      <w:r w:rsidRPr="00C35603">
        <w:t xml:space="preserve">, </w:t>
      </w:r>
      <w:r w:rsidR="00EB31D3" w:rsidRPr="00C35603">
        <w:t xml:space="preserve">за 2022 год по </w:t>
      </w:r>
      <w:r w:rsidR="000D2524">
        <w:t>муниципальному образованию</w:t>
      </w:r>
      <w:r w:rsidR="00EB31D3" w:rsidRPr="00C35603">
        <w:t xml:space="preserve"> «Город Томск», удельный вес сетей, нуждающихся в замене, в общей протяженности сетей состав</w:t>
      </w:r>
      <w:r w:rsidR="00D70F76">
        <w:t>ил</w:t>
      </w:r>
      <w:r w:rsidR="00EB31D3" w:rsidRPr="00C35603">
        <w:t xml:space="preserve">: водопровод – 58,8%, водоотведение – 73,7%. </w:t>
      </w:r>
    </w:p>
    <w:p w:rsidR="00041609" w:rsidRPr="00C35603" w:rsidRDefault="00041609" w:rsidP="00EB31D3">
      <w:pPr>
        <w:ind w:firstLine="715"/>
        <w:jc w:val="both"/>
      </w:pPr>
      <w:r w:rsidRPr="00C35603">
        <w:t xml:space="preserve">Основными </w:t>
      </w:r>
      <w:r w:rsidR="00F916F2">
        <w:t>мероприятиями</w:t>
      </w:r>
      <w:r w:rsidR="00E411C3">
        <w:t xml:space="preserve"> в рамках</w:t>
      </w:r>
      <w:r w:rsidRPr="00C35603">
        <w:t xml:space="preserve"> </w:t>
      </w:r>
      <w:r w:rsidR="00E411C3">
        <w:t>подпрограммы «Развитие инженерной инфраструктуры» являются</w:t>
      </w:r>
      <w:r w:rsidRPr="00C35603">
        <w:t>:</w:t>
      </w:r>
    </w:p>
    <w:p w:rsidR="00041609" w:rsidRPr="00C35603" w:rsidRDefault="00041609" w:rsidP="00041609">
      <w:pPr>
        <w:jc w:val="both"/>
      </w:pPr>
      <w:r w:rsidRPr="00C35603">
        <w:t>- строительство сетей водоснабжения на территориях муниципального образования «Город Томск»</w:t>
      </w:r>
      <w:r w:rsidR="00F06A25">
        <w:t>,</w:t>
      </w:r>
      <w:r w:rsidRPr="00C35603">
        <w:t xml:space="preserve"> на которых отсутствуют централизованные сети;</w:t>
      </w:r>
    </w:p>
    <w:p w:rsidR="00041609" w:rsidRPr="00C35603" w:rsidRDefault="00041609" w:rsidP="00041609">
      <w:pPr>
        <w:jc w:val="both"/>
      </w:pPr>
      <w:r w:rsidRPr="00C35603">
        <w:t>- реконструкция существующих центр</w:t>
      </w:r>
      <w:r w:rsidR="002316CF" w:rsidRPr="00C35603">
        <w:t>ализованных сетей водоснабжения;</w:t>
      </w:r>
    </w:p>
    <w:p w:rsidR="002316CF" w:rsidRPr="00C35603" w:rsidRDefault="002316CF" w:rsidP="00041609">
      <w:pPr>
        <w:jc w:val="both"/>
      </w:pPr>
      <w:r w:rsidRPr="00C35603">
        <w:t>- переключение абонентов о</w:t>
      </w:r>
      <w:r w:rsidR="00A131E0" w:rsidRPr="00C35603">
        <w:t>т</w:t>
      </w:r>
      <w:r w:rsidRPr="00C35603">
        <w:t xml:space="preserve"> локальных водозаборных скважин на сети централизованного водоснабжения;</w:t>
      </w:r>
    </w:p>
    <w:p w:rsidR="00A131E0" w:rsidRPr="00C35603" w:rsidRDefault="00A131E0" w:rsidP="00041609">
      <w:pPr>
        <w:jc w:val="both"/>
      </w:pPr>
      <w:r w:rsidRPr="00C35603">
        <w:t xml:space="preserve">- строительство сетей водоотведения; </w:t>
      </w:r>
    </w:p>
    <w:p w:rsidR="00A131E0" w:rsidRPr="00C35603" w:rsidRDefault="00A131E0" w:rsidP="00041609">
      <w:pPr>
        <w:jc w:val="both"/>
      </w:pPr>
      <w:r w:rsidRPr="00C35603">
        <w:t xml:space="preserve">- реконструкция КНС и сетей водоотведения. </w:t>
      </w:r>
    </w:p>
    <w:p w:rsidR="00EC44F0" w:rsidRPr="00C35603" w:rsidRDefault="00EC44F0" w:rsidP="00EC44F0">
      <w:pPr>
        <w:pStyle w:val="a4"/>
        <w:spacing w:after="0"/>
        <w:ind w:firstLine="715"/>
      </w:pPr>
    </w:p>
    <w:p w:rsidR="00EC44F0" w:rsidRPr="00C35603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C35603">
        <w:rPr>
          <w:b/>
        </w:rPr>
        <w:t>Система ливневой канализации</w:t>
      </w:r>
      <w:r w:rsidR="008357AC" w:rsidRPr="00C35603">
        <w:rPr>
          <w:b/>
        </w:rPr>
        <w:t xml:space="preserve"> </w:t>
      </w:r>
    </w:p>
    <w:p w:rsidR="00EC44F0" w:rsidRPr="00C35603" w:rsidRDefault="00EC44F0" w:rsidP="00EC44F0">
      <w:pPr>
        <w:ind w:firstLine="715"/>
        <w:jc w:val="both"/>
      </w:pPr>
    </w:p>
    <w:p w:rsidR="00EC44F0" w:rsidRPr="00C35603" w:rsidRDefault="00C35603" w:rsidP="00EC44F0">
      <w:pPr>
        <w:ind w:firstLine="715"/>
        <w:jc w:val="both"/>
      </w:pPr>
      <w:r w:rsidRPr="00C35603">
        <w:t>На территории муниципального образования «Город Томск» расположены объекты ливневой канализации протяженностью 214 км сетей ливневой канализации, а также 25,8 км. сетей приема и транспортировки дренажных вод</w:t>
      </w:r>
      <w:r w:rsidR="00EC44F0" w:rsidRPr="00C35603">
        <w:t>, общий износ городской ливневой канализации оценивается в 68%. В течени</w:t>
      </w:r>
      <w:r w:rsidR="00A36149" w:rsidRPr="00C35603">
        <w:t>и</w:t>
      </w:r>
      <w:r w:rsidR="00EC44F0" w:rsidRPr="00C35603">
        <w:t xml:space="preserve"> длительного периода, вплоть до настоящего времени, система ливневой канализации </w:t>
      </w:r>
      <w:r w:rsidR="0090311B" w:rsidRPr="00C35603">
        <w:t xml:space="preserve">муниципального образования «Город Томск» </w:t>
      </w:r>
      <w:r w:rsidR="00EC44F0" w:rsidRPr="00C35603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C35603" w:rsidRDefault="00EC44F0" w:rsidP="00EC44F0">
      <w:pPr>
        <w:adjustRightInd w:val="0"/>
        <w:ind w:firstLine="715"/>
        <w:jc w:val="both"/>
      </w:pPr>
      <w:r w:rsidRPr="00C35603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35603">
        <w:t>рыбохозяйственного</w:t>
      </w:r>
      <w:proofErr w:type="spellEnd"/>
      <w:r w:rsidRPr="00C35603">
        <w:t xml:space="preserve"> назначения.</w:t>
      </w:r>
    </w:p>
    <w:p w:rsidR="00EC44F0" w:rsidRPr="00C35603" w:rsidRDefault="00EC44F0" w:rsidP="00EC44F0">
      <w:pPr>
        <w:adjustRightInd w:val="0"/>
        <w:ind w:firstLine="715"/>
        <w:jc w:val="both"/>
      </w:pPr>
      <w:r w:rsidRPr="00C35603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35603">
        <w:t>Ушайка</w:t>
      </w:r>
      <w:proofErr w:type="spellEnd"/>
      <w:r w:rsidRPr="00C35603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  <w:r w:rsidR="00D70F76" w:rsidRPr="00D70F76">
        <w:t xml:space="preserve">В настоящее время выявлен </w:t>
      </w:r>
      <w:r w:rsidR="00D70F76" w:rsidRPr="00D70F76">
        <w:lastRenderedPageBreak/>
        <w:t xml:space="preserve">ряд несанкционированных врезок хозяйственно-бытовых </w:t>
      </w:r>
      <w:r w:rsidR="00C82322" w:rsidRPr="00D70F76">
        <w:t>стоков в</w:t>
      </w:r>
      <w:r w:rsidR="00D70F76" w:rsidRPr="00D70F76">
        <w:t xml:space="preserve"> систему ливневой канализации</w:t>
      </w:r>
      <w:r w:rsidRPr="00C35603">
        <w:t xml:space="preserve">, ликвидация которых планируется в рамках настоящей </w:t>
      </w:r>
      <w:r w:rsidR="00F559D7" w:rsidRPr="00C35603">
        <w:t>прог</w:t>
      </w:r>
      <w:r w:rsidRPr="00C35603">
        <w:t>раммы.</w:t>
      </w:r>
    </w:p>
    <w:p w:rsidR="00EC44F0" w:rsidRPr="00C35603" w:rsidRDefault="00EC44F0" w:rsidP="00EC44F0">
      <w:pPr>
        <w:pStyle w:val="a4"/>
        <w:spacing w:after="0"/>
        <w:ind w:firstLine="715"/>
      </w:pPr>
    </w:p>
    <w:p w:rsidR="00EC44F0" w:rsidRPr="00C35603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C35603">
        <w:rPr>
          <w:b/>
        </w:rPr>
        <w:t>Система теплоснабжения</w:t>
      </w:r>
    </w:p>
    <w:p w:rsidR="00EC44F0" w:rsidRPr="00C35603" w:rsidRDefault="00EC44F0" w:rsidP="00EC44F0">
      <w:pPr>
        <w:pStyle w:val="a4"/>
        <w:spacing w:after="0"/>
        <w:ind w:firstLine="715"/>
        <w:rPr>
          <w:b/>
        </w:rPr>
      </w:pPr>
    </w:p>
    <w:p w:rsidR="000C7D22" w:rsidRPr="00C35603" w:rsidRDefault="000C7D22" w:rsidP="00EC44F0">
      <w:pPr>
        <w:ind w:firstLine="715"/>
        <w:jc w:val="both"/>
      </w:pPr>
    </w:p>
    <w:p w:rsidR="000C7D22" w:rsidRPr="00C35603" w:rsidRDefault="000C7D22" w:rsidP="000C7D22">
      <w:pPr>
        <w:pStyle w:val="a8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35603">
        <w:rPr>
          <w:rFonts w:ascii="Times New Roman" w:eastAsia="Times New Roman" w:hAnsi="Times New Roman"/>
          <w:szCs w:val="24"/>
          <w:lang w:eastAsia="ru-RU"/>
        </w:rPr>
        <w:t>Теплоснабжение в городе Томске осуществляется от крупных источников комбинированной выработки энергии АО «Томская генерация» (ГРЭС-2, ТЭЦ-1, ТЭЦ-3), котельных в зонах деятельности ЕТО АО «</w:t>
      </w:r>
      <w:proofErr w:type="spellStart"/>
      <w:r w:rsidRPr="00C35603">
        <w:rPr>
          <w:rFonts w:ascii="Times New Roman" w:eastAsia="Times New Roman" w:hAnsi="Times New Roman"/>
          <w:szCs w:val="24"/>
          <w:lang w:eastAsia="ru-RU"/>
        </w:rPr>
        <w:t>ТомскРТС</w:t>
      </w:r>
      <w:proofErr w:type="spellEnd"/>
      <w:r w:rsidRPr="00C35603">
        <w:rPr>
          <w:rFonts w:ascii="Times New Roman" w:eastAsia="Times New Roman" w:hAnsi="Times New Roman"/>
          <w:szCs w:val="24"/>
          <w:lang w:eastAsia="ru-RU"/>
        </w:rPr>
        <w:t xml:space="preserve">» и котельных прочих ЕТО с преобладанием централизованного теплоснабжения. Всего на территории города работают 55 котельных, в том числе 19 котельных средней мощности и 36 котельных мощностью не более 5 Гкал/ч. </w:t>
      </w:r>
      <w:proofErr w:type="spellStart"/>
      <w:r w:rsidRPr="00C35603">
        <w:rPr>
          <w:rFonts w:ascii="Times New Roman" w:eastAsia="Times New Roman" w:hAnsi="Times New Roman"/>
          <w:szCs w:val="24"/>
          <w:lang w:eastAsia="ru-RU"/>
        </w:rPr>
        <w:t>Бóльшая</w:t>
      </w:r>
      <w:proofErr w:type="spellEnd"/>
      <w:r w:rsidRPr="00C35603">
        <w:rPr>
          <w:rFonts w:ascii="Times New Roman" w:eastAsia="Times New Roman" w:hAnsi="Times New Roman"/>
          <w:szCs w:val="24"/>
          <w:lang w:eastAsia="ru-RU"/>
        </w:rPr>
        <w:t xml:space="preserve"> часть источников работает на газе, с использованием дизельного топлива в качестве аварийного.</w:t>
      </w:r>
    </w:p>
    <w:p w:rsidR="000C7D22" w:rsidRPr="00C35603" w:rsidRDefault="000C7D22" w:rsidP="000C7D22">
      <w:pPr>
        <w:pStyle w:val="a8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0C7D22" w:rsidRPr="00C35603" w:rsidRDefault="000C7D22" w:rsidP="000C7D22">
      <w:pPr>
        <w:pStyle w:val="a8"/>
        <w:spacing w:after="0" w:line="240" w:lineRule="auto"/>
        <w:ind w:firstLine="0"/>
      </w:pPr>
      <w:r w:rsidRPr="00C35603">
        <w:object w:dxaOrig="9615" w:dyaOrig="6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303pt" o:ole="">
            <v:imagedata r:id="rId6" o:title=""/>
          </v:shape>
          <o:OLEObject Type="Embed" ProgID="Visio.Drawing.15" ShapeID="_x0000_i1025" DrawAspect="Content" ObjectID="_1755000321" r:id="rId7"/>
        </w:object>
      </w:r>
    </w:p>
    <w:p w:rsidR="008F72E2" w:rsidRPr="00C35603" w:rsidRDefault="008F72E2" w:rsidP="00EC44F0">
      <w:pPr>
        <w:ind w:firstLine="715"/>
        <w:jc w:val="both"/>
      </w:pPr>
    </w:p>
    <w:p w:rsidR="00B273F8" w:rsidRPr="00C35603" w:rsidRDefault="008F72E2" w:rsidP="008F72E2">
      <w:pPr>
        <w:ind w:firstLine="715"/>
        <w:jc w:val="both"/>
      </w:pPr>
      <w:r w:rsidRPr="00C35603">
        <w:t xml:space="preserve">Система теплоснабжения муниципального образования «Город Томск» насчитывает 702,61 км сетей теплоснабжения (из них в муниципальной собственности – </w:t>
      </w:r>
      <w:r w:rsidR="00B273F8" w:rsidRPr="00C35603">
        <w:t>66,2</w:t>
      </w:r>
      <w:r w:rsidRPr="00C35603">
        <w:t xml:space="preserve">%), за 2022 год по </w:t>
      </w:r>
      <w:r w:rsidR="00F06A25">
        <w:t>муниципальному образованию</w:t>
      </w:r>
      <w:r w:rsidRPr="00C35603">
        <w:t xml:space="preserve"> «Город Томск», удельный вес сетей, нуждающихся в замене, в общей протяженности сетей состав</w:t>
      </w:r>
      <w:r w:rsidR="00D70F76">
        <w:t>ил</w:t>
      </w:r>
      <w:r w:rsidR="00B273F8" w:rsidRPr="00C35603">
        <w:t xml:space="preserve"> 59,6</w:t>
      </w:r>
      <w:r w:rsidRPr="00C35603">
        <w:t>%.</w:t>
      </w:r>
    </w:p>
    <w:p w:rsidR="008F72E2" w:rsidRPr="00C35603" w:rsidRDefault="00B273F8" w:rsidP="008F72E2">
      <w:pPr>
        <w:ind w:firstLine="715"/>
        <w:jc w:val="both"/>
      </w:pPr>
      <w:r w:rsidRPr="00C35603">
        <w:t>Процент износа объектов теплоснабжения, находящихся на учете в муниципальной имущественной казне Города Томска – 88%.</w:t>
      </w:r>
      <w:r w:rsidR="008F72E2" w:rsidRPr="00C35603">
        <w:t xml:space="preserve"> </w:t>
      </w:r>
    </w:p>
    <w:p w:rsidR="008F72E2" w:rsidRPr="00C35603" w:rsidRDefault="00D34461" w:rsidP="00EC44F0">
      <w:pPr>
        <w:ind w:firstLine="715"/>
        <w:jc w:val="both"/>
      </w:pPr>
      <w:r w:rsidRPr="00C35603">
        <w:t xml:space="preserve">Основными </w:t>
      </w:r>
      <w:r>
        <w:t>мероприятиями в рамках</w:t>
      </w:r>
      <w:r w:rsidRPr="00C35603">
        <w:t xml:space="preserve"> </w:t>
      </w:r>
      <w:r>
        <w:t>подпрограммы «Развитие инженерной инфраструктуры»</w:t>
      </w:r>
      <w:r w:rsidR="0026355B" w:rsidRPr="00C35603">
        <w:t xml:space="preserve"> в сфере теплоснабжения</w:t>
      </w:r>
      <w:r w:rsidR="00F3094E">
        <w:t xml:space="preserve"> являются</w:t>
      </w:r>
      <w:r w:rsidR="0026355B" w:rsidRPr="00C35603">
        <w:t>:</w:t>
      </w:r>
    </w:p>
    <w:p w:rsidR="007B1A9B" w:rsidRPr="00C35603" w:rsidRDefault="007B1A9B" w:rsidP="007B1A9B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перевод угольных котельных на газообразное топливо;</w:t>
      </w:r>
    </w:p>
    <w:p w:rsidR="00126721" w:rsidRPr="00C35603" w:rsidRDefault="00126721" w:rsidP="007B1A9B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переключение абонентов, запитанных от локальных котельных на сети централизованного теплоснабжения в зоне деятельности единой теплоснабжающей организации;</w:t>
      </w:r>
    </w:p>
    <w:p w:rsidR="00126721" w:rsidRPr="00C35603" w:rsidRDefault="007B1A9B" w:rsidP="00126721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строительство (реконструкция) децентрализов</w:t>
      </w:r>
      <w:r w:rsidR="00126721" w:rsidRPr="00C35603">
        <w:t>анных источников теплоснабжения;</w:t>
      </w:r>
    </w:p>
    <w:p w:rsidR="007B1A9B" w:rsidRPr="00C35603" w:rsidRDefault="00126721" w:rsidP="00126721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строительство (реконструкция) сетей теплоснабжения;</w:t>
      </w:r>
    </w:p>
    <w:p w:rsidR="002A6CEA" w:rsidRPr="00C35603" w:rsidRDefault="002A6CEA" w:rsidP="00126721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lastRenderedPageBreak/>
        <w:t>участие муниципального образования «Город Томск» в региональных, государственных программах (</w:t>
      </w:r>
      <w:proofErr w:type="spellStart"/>
      <w:r w:rsidRPr="00C35603">
        <w:t>софинансирование</w:t>
      </w:r>
      <w:proofErr w:type="spellEnd"/>
      <w:r w:rsidRPr="00C35603">
        <w:t>);</w:t>
      </w:r>
    </w:p>
    <w:p w:rsidR="00126721" w:rsidRPr="00C35603" w:rsidRDefault="002A6CEA" w:rsidP="00126721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 xml:space="preserve">приобретение оборудования для организации надлежащего теплоснабжения.  </w:t>
      </w:r>
      <w:r w:rsidR="00126721" w:rsidRPr="00C35603">
        <w:t xml:space="preserve"> </w:t>
      </w:r>
    </w:p>
    <w:p w:rsidR="00EC44F0" w:rsidRPr="00C35603" w:rsidRDefault="00EC44F0" w:rsidP="00EC44F0">
      <w:pPr>
        <w:ind w:firstLine="715"/>
        <w:jc w:val="both"/>
      </w:pPr>
    </w:p>
    <w:p w:rsidR="00EC44F0" w:rsidRPr="00C35603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C35603">
        <w:rPr>
          <w:b/>
        </w:rPr>
        <w:t>Система электроснабжения</w:t>
      </w:r>
    </w:p>
    <w:p w:rsidR="00EC44F0" w:rsidRPr="00C35603" w:rsidRDefault="00EC44F0" w:rsidP="00EC44F0">
      <w:pPr>
        <w:pStyle w:val="a4"/>
        <w:spacing w:after="0"/>
        <w:ind w:firstLine="715"/>
        <w:rPr>
          <w:b/>
        </w:rPr>
      </w:pPr>
    </w:p>
    <w:p w:rsidR="00EC44F0" w:rsidRPr="00C35603" w:rsidRDefault="00EC44F0" w:rsidP="00EC44F0">
      <w:pPr>
        <w:pStyle w:val="a4"/>
        <w:spacing w:after="0"/>
        <w:ind w:left="-6" w:firstLine="715"/>
      </w:pPr>
      <w:r w:rsidRPr="00C35603">
        <w:t xml:space="preserve">Общая протяжённость сетей электроснабжения напряжением 10-0,4 </w:t>
      </w:r>
      <w:proofErr w:type="spellStart"/>
      <w:r w:rsidRPr="00C35603">
        <w:t>кВ</w:t>
      </w:r>
      <w:proofErr w:type="spellEnd"/>
      <w:r w:rsidRPr="00C35603">
        <w:t xml:space="preserve"> составляет </w:t>
      </w:r>
      <w:r w:rsidR="00DF49E8" w:rsidRPr="00C35603">
        <w:t>3 415,16</w:t>
      </w:r>
      <w:r w:rsidRPr="00C35603">
        <w:t xml:space="preserve"> км, из них </w:t>
      </w:r>
      <w:smartTag w:uri="urn:schemas-microsoft-com:office:smarttags" w:element="metricconverter">
        <w:smartTagPr>
          <w:attr w:name="ProductID" w:val="1 520 км"/>
        </w:smartTagPr>
        <w:r w:rsidRPr="00C35603">
          <w:t>1 520 км</w:t>
        </w:r>
      </w:smartTag>
      <w:r w:rsidRPr="00C35603">
        <w:t xml:space="preserve"> (</w:t>
      </w:r>
      <w:r w:rsidR="00D70F76">
        <w:t>44,5</w:t>
      </w:r>
      <w:r w:rsidRPr="00C35603">
        <w:t>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C35603" w:rsidRDefault="00EC44F0" w:rsidP="00EC44F0">
      <w:pPr>
        <w:ind w:firstLine="715"/>
        <w:jc w:val="both"/>
      </w:pPr>
      <w:r w:rsidRPr="00C35603">
        <w:t xml:space="preserve">- </w:t>
      </w:r>
      <w:r w:rsidR="002A6CEA" w:rsidRPr="00C35603">
        <w:t>увеличение категорий надежности электроснабжения объектов социальной сферы;</w:t>
      </w:r>
    </w:p>
    <w:p w:rsidR="00EC44F0" w:rsidRPr="00C35603" w:rsidRDefault="00EC44F0" w:rsidP="00EC44F0">
      <w:pPr>
        <w:ind w:firstLine="715"/>
        <w:jc w:val="both"/>
      </w:pPr>
      <w:r w:rsidRPr="00C35603">
        <w:t>- переключение абонентов с ведомственных сетей электроснабжения на сети электроснабжения электросетевых комп</w:t>
      </w:r>
      <w:r w:rsidR="002A6CEA" w:rsidRPr="00C35603">
        <w:t>аний;</w:t>
      </w:r>
    </w:p>
    <w:p w:rsidR="002A6CEA" w:rsidRPr="00C35603" w:rsidRDefault="002A6CEA" w:rsidP="00EC44F0">
      <w:pPr>
        <w:ind w:firstLine="715"/>
        <w:jc w:val="both"/>
      </w:pPr>
      <w:r w:rsidRPr="00C35603">
        <w:t>- строительство сетей электроснабжения.</w:t>
      </w:r>
    </w:p>
    <w:p w:rsidR="008357AC" w:rsidRPr="00C35603" w:rsidRDefault="008357AC" w:rsidP="00650414">
      <w:pPr>
        <w:shd w:val="clear" w:color="auto" w:fill="FFFFFF"/>
        <w:ind w:firstLine="851"/>
        <w:jc w:val="both"/>
      </w:pPr>
    </w:p>
    <w:p w:rsidR="008357AC" w:rsidRPr="00C35603" w:rsidRDefault="00650414" w:rsidP="00650414">
      <w:pPr>
        <w:shd w:val="clear" w:color="auto" w:fill="FFFFFF"/>
        <w:ind w:firstLine="851"/>
        <w:jc w:val="both"/>
      </w:pPr>
      <w:r w:rsidRPr="00C35603">
        <w:t xml:space="preserve">С целью улучшения качества жизни жителей </w:t>
      </w:r>
      <w:r w:rsidR="0090311B" w:rsidRPr="00C35603">
        <w:t xml:space="preserve">муниципального образования «Город Томск» </w:t>
      </w:r>
      <w:r w:rsidR="003201CF" w:rsidRPr="00C35603">
        <w:t>была разработана С</w:t>
      </w:r>
      <w:r w:rsidRPr="00C35603">
        <w:t>тратегия социально-экономического развития муниципального образования «Город Томск» до 2030 года</w:t>
      </w:r>
      <w:r w:rsidR="003201CF" w:rsidRPr="00C35603">
        <w:t>, утвержденная решением Думы Города Томска от 27.06.2006 № 224</w:t>
      </w:r>
      <w:r w:rsidRPr="00C35603">
        <w:t xml:space="preserve">. Ее цели и задачи в части развития систем инженерно-технического обеспечения </w:t>
      </w:r>
      <w:r w:rsidR="0090311B" w:rsidRPr="00C35603">
        <w:t xml:space="preserve">муниципального образования «Город Томск» </w:t>
      </w:r>
      <w:r w:rsidRPr="00C35603">
        <w:t>легли в основу утверждаемой на период 20</w:t>
      </w:r>
      <w:r w:rsidR="008357AC" w:rsidRPr="00C35603">
        <w:t>24</w:t>
      </w:r>
      <w:r w:rsidRPr="00C35603">
        <w:t>-</w:t>
      </w:r>
      <w:r w:rsidR="00155D64" w:rsidRPr="00C35603">
        <w:t>20</w:t>
      </w:r>
      <w:r w:rsidR="008357AC" w:rsidRPr="00C35603">
        <w:t>30</w:t>
      </w:r>
      <w:r w:rsidRPr="00C35603">
        <w:t xml:space="preserve"> г</w:t>
      </w:r>
      <w:r w:rsidR="00C82322">
        <w:t>оды</w:t>
      </w:r>
      <w:r w:rsidRPr="00C35603">
        <w:t xml:space="preserve"> муниципальной программы «Развитие инженерной инфраструктуры для обеспечения населения коммунальными услугами</w:t>
      </w:r>
      <w:r w:rsidR="00D70F76" w:rsidRPr="00C35603">
        <w:t>»</w:t>
      </w:r>
      <w:r w:rsidR="004A71E3" w:rsidRPr="00C35603">
        <w:t xml:space="preserve"> на 20</w:t>
      </w:r>
      <w:r w:rsidR="008357AC" w:rsidRPr="00C35603">
        <w:t>24</w:t>
      </w:r>
      <w:r w:rsidR="004A71E3" w:rsidRPr="00C35603">
        <w:t>-</w:t>
      </w:r>
      <w:r w:rsidR="00155D64" w:rsidRPr="00C35603">
        <w:t>20</w:t>
      </w:r>
      <w:r w:rsidR="008357AC" w:rsidRPr="00C35603">
        <w:t>30</w:t>
      </w:r>
      <w:r w:rsidR="00D74F6A" w:rsidRPr="00C35603">
        <w:t xml:space="preserve"> годы</w:t>
      </w:r>
      <w:r w:rsidR="00C82322">
        <w:t>»</w:t>
      </w:r>
      <w:r w:rsidRPr="00C35603">
        <w:t xml:space="preserve"> (далее – Программа).</w:t>
      </w:r>
      <w:r w:rsidR="008357AC" w:rsidRPr="00C35603">
        <w:t xml:space="preserve"> В том числе направленных на реализацию национальных проектов.</w:t>
      </w:r>
      <w:r w:rsidRPr="00C35603">
        <w:t xml:space="preserve"> </w:t>
      </w:r>
    </w:p>
    <w:p w:rsidR="00650414" w:rsidRPr="00C35603" w:rsidRDefault="00650414" w:rsidP="00650414">
      <w:pPr>
        <w:shd w:val="clear" w:color="auto" w:fill="FFFFFF"/>
        <w:ind w:firstLine="851"/>
        <w:jc w:val="both"/>
      </w:pPr>
      <w:r w:rsidRPr="00C35603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C35603">
        <w:t>муниципального образования «Город Томск»</w:t>
      </w:r>
      <w:r w:rsidRPr="00C35603">
        <w:t>. Показатели цели и задач мероприятий программы приведены в приложении 1</w:t>
      </w:r>
      <w:r w:rsidR="00985F34" w:rsidRPr="00C35603">
        <w:t xml:space="preserve"> к Программе</w:t>
      </w:r>
      <w:r w:rsidRPr="00C35603">
        <w:t xml:space="preserve">. </w:t>
      </w:r>
      <w:r w:rsidR="008E70AA" w:rsidRPr="00C35603">
        <w:t>Ресурсное обеспечение муниципальной программы</w:t>
      </w:r>
      <w:r w:rsidRPr="00C35603">
        <w:t xml:space="preserve"> с указанием объема финансирования </w:t>
      </w:r>
      <w:r w:rsidR="008E70AA" w:rsidRPr="00C35603">
        <w:t>отражено</w:t>
      </w:r>
      <w:r w:rsidRPr="00C35603">
        <w:t xml:space="preserve"> в приложении 2</w:t>
      </w:r>
      <w:r w:rsidR="00985F34" w:rsidRPr="00C35603">
        <w:t xml:space="preserve"> к Программе</w:t>
      </w:r>
      <w:r w:rsidRPr="00C35603">
        <w:t>.</w:t>
      </w:r>
    </w:p>
    <w:p w:rsidR="002B58BD" w:rsidRPr="00C35603" w:rsidRDefault="002B58BD" w:rsidP="002B58BD">
      <w:pPr>
        <w:pStyle w:val="a4"/>
        <w:tabs>
          <w:tab w:val="left" w:pos="0"/>
        </w:tabs>
        <w:spacing w:after="0"/>
      </w:pPr>
      <w:r w:rsidRPr="00C35603">
        <w:t>Для целей сопоставления показателей развитости си</w:t>
      </w:r>
      <w:r w:rsidR="00271E2C" w:rsidRPr="00C35603">
        <w:t>стем инженерной инфраструктуры муниципального образования</w:t>
      </w:r>
      <w:r w:rsidRPr="00C35603">
        <w:t xml:space="preserve"> «Город Томск» с другими областными центрами субъектов Р</w:t>
      </w:r>
      <w:r w:rsidR="00271E2C" w:rsidRPr="00C35603">
        <w:t xml:space="preserve">оссийской </w:t>
      </w:r>
      <w:r w:rsidRPr="00C35603">
        <w:t>Ф</w:t>
      </w:r>
      <w:r w:rsidR="00271E2C" w:rsidRPr="00C35603">
        <w:t>едерации</w:t>
      </w:r>
      <w:r w:rsidRPr="00C35603">
        <w:t xml:space="preserve"> </w:t>
      </w:r>
      <w:r w:rsidR="00BA7C81" w:rsidRPr="00C35603">
        <w:t>Сибирского федерального округа (далее – СФО)</w:t>
      </w:r>
      <w:r w:rsidRPr="00C35603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C35603">
        <w:t>ниям вышеназванных критериев к муниципальному образованию</w:t>
      </w:r>
      <w:r w:rsidRPr="00C35603">
        <w:t xml:space="preserve"> «Город Томск». </w:t>
      </w:r>
    </w:p>
    <w:p w:rsidR="0090311B" w:rsidRPr="00C35603" w:rsidRDefault="0090311B" w:rsidP="002B58BD">
      <w:pPr>
        <w:pStyle w:val="a4"/>
        <w:tabs>
          <w:tab w:val="left" w:pos="0"/>
        </w:tabs>
        <w:spacing w:after="0"/>
      </w:pPr>
    </w:p>
    <w:p w:rsidR="002B58BD" w:rsidRPr="00C35603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C35603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35"/>
        <w:gridCol w:w="1235"/>
        <w:gridCol w:w="1235"/>
        <w:gridCol w:w="1235"/>
        <w:gridCol w:w="1236"/>
        <w:gridCol w:w="1236"/>
      </w:tblGrid>
      <w:tr w:rsidR="002B58BD" w:rsidRPr="00C35603" w:rsidTr="009233D1"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Показатель</w:t>
            </w:r>
          </w:p>
        </w:tc>
        <w:tc>
          <w:tcPr>
            <w:tcW w:w="1367" w:type="dxa"/>
          </w:tcPr>
          <w:p w:rsidR="002B58BD" w:rsidRPr="00C35603" w:rsidRDefault="00D70F76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2021</w:t>
            </w:r>
            <w:r w:rsidR="002B58BD"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D70F76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</w:t>
            </w:r>
            <w:r w:rsidR="00D70F76">
              <w:t>022</w:t>
            </w:r>
            <w:r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D70F76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</w:t>
            </w:r>
            <w:r w:rsidR="00D70F76">
              <w:t>23</w:t>
            </w:r>
            <w:r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D70F76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202</w:t>
            </w:r>
            <w:r w:rsidR="00D70F76">
              <w:t>4</w:t>
            </w:r>
            <w:r w:rsidRPr="00C35603">
              <w:t xml:space="preserve"> год</w:t>
            </w:r>
          </w:p>
        </w:tc>
        <w:tc>
          <w:tcPr>
            <w:tcW w:w="1368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2025 год</w:t>
            </w:r>
          </w:p>
        </w:tc>
        <w:tc>
          <w:tcPr>
            <w:tcW w:w="1368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2030 год</w:t>
            </w:r>
          </w:p>
        </w:tc>
      </w:tr>
      <w:tr w:rsidR="002B58BD" w:rsidRPr="00C35603" w:rsidTr="009233D1">
        <w:tc>
          <w:tcPr>
            <w:tcW w:w="1367" w:type="dxa"/>
          </w:tcPr>
          <w:p w:rsidR="002B58BD" w:rsidRPr="00C35603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603">
              <w:t xml:space="preserve">Численность </w:t>
            </w:r>
            <w:r w:rsidRPr="00C35603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  <w:r w:rsidR="009D3659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367" w:type="dxa"/>
          </w:tcPr>
          <w:p w:rsidR="002B58BD" w:rsidRPr="00C35603" w:rsidRDefault="009D3659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591,5</w:t>
            </w:r>
          </w:p>
        </w:tc>
        <w:tc>
          <w:tcPr>
            <w:tcW w:w="1367" w:type="dxa"/>
          </w:tcPr>
          <w:p w:rsidR="002B58BD" w:rsidRPr="00C35603" w:rsidRDefault="009D3659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592,1</w:t>
            </w:r>
          </w:p>
        </w:tc>
        <w:tc>
          <w:tcPr>
            <w:tcW w:w="1367" w:type="dxa"/>
          </w:tcPr>
          <w:p w:rsidR="002B58BD" w:rsidRPr="00C35603" w:rsidRDefault="00356313" w:rsidP="000F7F0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59</w:t>
            </w:r>
            <w:r w:rsidR="000F7F0A">
              <w:t>4</w:t>
            </w:r>
            <w:r>
              <w:t>,8</w:t>
            </w:r>
          </w:p>
        </w:tc>
        <w:tc>
          <w:tcPr>
            <w:tcW w:w="1367" w:type="dxa"/>
          </w:tcPr>
          <w:p w:rsidR="002B58BD" w:rsidRPr="00C35603" w:rsidRDefault="00356313" w:rsidP="000F7F0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59</w:t>
            </w:r>
            <w:r w:rsidR="000F7F0A">
              <w:t>7</w:t>
            </w:r>
            <w:r>
              <w:t>,</w:t>
            </w:r>
            <w:r w:rsidR="000F7F0A">
              <w:t>9</w:t>
            </w:r>
          </w:p>
        </w:tc>
        <w:tc>
          <w:tcPr>
            <w:tcW w:w="1368" w:type="dxa"/>
          </w:tcPr>
          <w:p w:rsidR="002B58BD" w:rsidRPr="00C35603" w:rsidRDefault="000F7F0A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301,1</w:t>
            </w:r>
          </w:p>
        </w:tc>
        <w:tc>
          <w:tcPr>
            <w:tcW w:w="1368" w:type="dxa"/>
          </w:tcPr>
          <w:p w:rsidR="002B58BD" w:rsidRPr="00C35603" w:rsidRDefault="00E25479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622,7</w:t>
            </w:r>
          </w:p>
        </w:tc>
      </w:tr>
      <w:tr w:rsidR="002B58BD" w:rsidRPr="00C35603" w:rsidTr="009233D1"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8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8" w:type="dxa"/>
          </w:tcPr>
          <w:p w:rsidR="002B58BD" w:rsidRPr="00C35603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</w:tr>
    </w:tbl>
    <w:p w:rsidR="002B58BD" w:rsidRDefault="009D3659" w:rsidP="002B58BD">
      <w:pPr>
        <w:pStyle w:val="a4"/>
        <w:tabs>
          <w:tab w:val="left" w:pos="0"/>
        </w:tabs>
        <w:spacing w:after="0"/>
        <w:rPr>
          <w:sz w:val="20"/>
          <w:szCs w:val="20"/>
        </w:rPr>
      </w:pPr>
      <w:r w:rsidRPr="009D3659">
        <w:rPr>
          <w:sz w:val="20"/>
          <w:szCs w:val="20"/>
        </w:rPr>
        <w:t>*данные прогноза социально-экономического развития муниципального образования «Город Томск» до 2030 года, утвержденные постановлением администрации Города Томска от 30.08.2022 №807.</w:t>
      </w:r>
    </w:p>
    <w:p w:rsidR="009D3659" w:rsidRPr="009D3659" w:rsidRDefault="009D3659" w:rsidP="002B58BD">
      <w:pPr>
        <w:pStyle w:val="a4"/>
        <w:tabs>
          <w:tab w:val="left" w:pos="0"/>
        </w:tabs>
        <w:spacing w:after="0"/>
        <w:rPr>
          <w:sz w:val="20"/>
          <w:szCs w:val="20"/>
        </w:rPr>
      </w:pPr>
    </w:p>
    <w:p w:rsidR="002B58BD" w:rsidRPr="00C35603" w:rsidRDefault="006F37D6" w:rsidP="002B58BD">
      <w:pPr>
        <w:pStyle w:val="a4"/>
        <w:tabs>
          <w:tab w:val="left" w:pos="0"/>
        </w:tabs>
        <w:spacing w:after="0"/>
        <w:rPr>
          <w:color w:val="000000"/>
        </w:rPr>
      </w:pPr>
      <w:r>
        <w:lastRenderedPageBreak/>
        <w:t>По данным материалов из Википедии — свободной энциклопедии на 2023 год, н</w:t>
      </w:r>
      <w:r w:rsidR="00271E2C" w:rsidRPr="00C35603">
        <w:t>аиболее близкими к муниципальному образованию</w:t>
      </w:r>
      <w:r w:rsidR="002B58BD" w:rsidRPr="00C35603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</w:t>
      </w:r>
      <w:r>
        <w:t>365,71</w:t>
      </w:r>
      <w:r w:rsidR="002B58BD" w:rsidRPr="00C35603">
        <w:t xml:space="preserve"> </w:t>
      </w:r>
      <w:proofErr w:type="spellStart"/>
      <w:r w:rsidR="002B58BD" w:rsidRPr="00C35603">
        <w:t>кв.км</w:t>
      </w:r>
      <w:proofErr w:type="spellEnd"/>
      <w:r w:rsidR="002B58BD" w:rsidRPr="00C35603">
        <w:t xml:space="preserve">. и </w:t>
      </w:r>
      <w:r>
        <w:t>436,14</w:t>
      </w:r>
      <w:r w:rsidR="002B58BD" w:rsidRPr="00C35603">
        <w:t xml:space="preserve"> чел. соответственно, - и Чита (Забайкальский край), - 534 </w:t>
      </w:r>
      <w:proofErr w:type="spellStart"/>
      <w:r w:rsidR="002B58BD" w:rsidRPr="00C35603">
        <w:t>кв.км</w:t>
      </w:r>
      <w:proofErr w:type="spellEnd"/>
      <w:r w:rsidR="002B58BD" w:rsidRPr="00C35603">
        <w:t xml:space="preserve">. и </w:t>
      </w:r>
      <w:r>
        <w:t>333,68</w:t>
      </w:r>
      <w:r w:rsidR="002B58BD" w:rsidRPr="00C35603">
        <w:t xml:space="preserve"> чел. соответственно. Таким образом, среди городов – областных центров субъектов Р</w:t>
      </w:r>
      <w:r w:rsidR="00271E2C" w:rsidRPr="00C35603">
        <w:t xml:space="preserve">оссийской </w:t>
      </w:r>
      <w:r w:rsidR="002B58BD" w:rsidRPr="00C35603">
        <w:t>Ф</w:t>
      </w:r>
      <w:r w:rsidR="00271E2C" w:rsidRPr="00C35603">
        <w:t>едерации</w:t>
      </w:r>
      <w:r w:rsidR="002B58BD" w:rsidRPr="00C35603">
        <w:t xml:space="preserve">, входящих в </w:t>
      </w:r>
      <w:r w:rsidR="004F20B1" w:rsidRPr="00C35603">
        <w:t>СФО</w:t>
      </w:r>
      <w:r w:rsidR="002B58BD" w:rsidRPr="00C35603">
        <w:t>, нет сопоставимых с</w:t>
      </w:r>
      <w:r w:rsidR="00271E2C" w:rsidRPr="00C35603">
        <w:t xml:space="preserve"> муниципальным образованием</w:t>
      </w:r>
      <w:r w:rsidR="002B58BD" w:rsidRPr="00C35603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="00271E2C" w:rsidRPr="00C35603">
        <w:t>стем инженерной инфраструктуры муниципального образования</w:t>
      </w:r>
      <w:r w:rsidR="002B58BD" w:rsidRPr="00C35603">
        <w:t xml:space="preserve"> «Город Томск» с другими областными центрами субъектов Р</w:t>
      </w:r>
      <w:r w:rsidR="00271E2C" w:rsidRPr="00C35603">
        <w:t xml:space="preserve">оссийской </w:t>
      </w:r>
      <w:r w:rsidR="002B58BD" w:rsidRPr="00C35603">
        <w:t>Ф</w:t>
      </w:r>
      <w:r w:rsidR="00271E2C" w:rsidRPr="00C35603">
        <w:t>едерации</w:t>
      </w:r>
      <w:r w:rsidR="002B58BD" w:rsidRPr="00C35603">
        <w:t xml:space="preserve"> </w:t>
      </w:r>
      <w:r w:rsidR="00BA7C81" w:rsidRPr="00C35603">
        <w:t>СФО</w:t>
      </w:r>
      <w:r w:rsidR="002B58BD" w:rsidRPr="00C35603">
        <w:t>.</w:t>
      </w:r>
    </w:p>
    <w:p w:rsidR="00EC44F0" w:rsidRPr="00C35603" w:rsidRDefault="00EC44F0" w:rsidP="00EC44F0">
      <w:pPr>
        <w:ind w:firstLine="709"/>
        <w:jc w:val="both"/>
      </w:pPr>
      <w:r w:rsidRPr="00C35603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C35603">
        <w:t>противопаводковые</w:t>
      </w:r>
      <w:proofErr w:type="spellEnd"/>
      <w:r w:rsidRPr="00C35603">
        <w:t xml:space="preserve"> мероприятия.   </w:t>
      </w:r>
    </w:p>
    <w:p w:rsidR="00EC44F0" w:rsidRPr="00C35603" w:rsidRDefault="00EC44F0" w:rsidP="00EC44F0">
      <w:pPr>
        <w:ind w:right="-185" w:firstLine="709"/>
        <w:jc w:val="both"/>
      </w:pPr>
      <w:r w:rsidRPr="00C35603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</w:t>
      </w:r>
    </w:p>
    <w:p w:rsidR="00EC44F0" w:rsidRPr="00C35603" w:rsidRDefault="00EC44F0" w:rsidP="00EC44F0">
      <w:pPr>
        <w:ind w:right="-185" w:firstLine="709"/>
        <w:jc w:val="both"/>
      </w:pPr>
      <w:r w:rsidRPr="00C35603">
        <w:t xml:space="preserve">В муниципальной собственности на сегодняшний день имеются </w:t>
      </w:r>
      <w:r w:rsidR="00EE3F51">
        <w:t>восемь фонтанов</w:t>
      </w:r>
      <w:r w:rsidRPr="00C35603">
        <w:t xml:space="preserve">, которые требуют постоянного обслуживания в летний период времени. </w:t>
      </w:r>
    </w:p>
    <w:p w:rsidR="00EC44F0" w:rsidRPr="00C35603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5603">
        <w:rPr>
          <w:color w:val="000000"/>
        </w:rPr>
        <w:t>В</w:t>
      </w:r>
      <w:r w:rsidR="00271E2C" w:rsidRPr="00C35603">
        <w:rPr>
          <w:color w:val="000000"/>
        </w:rPr>
        <w:t xml:space="preserve"> настоящее время на территории муниципального образования</w:t>
      </w:r>
      <w:r w:rsidRPr="00C35603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</w:t>
      </w:r>
      <w:r w:rsidR="008357AC" w:rsidRPr="00C35603">
        <w:rPr>
          <w:color w:val="000000"/>
        </w:rPr>
        <w:t>23</w:t>
      </w:r>
      <w:r w:rsidRPr="00C35603">
        <w:rPr>
          <w:color w:val="000000"/>
        </w:rPr>
        <w:t xml:space="preserve"> года выявлено </w:t>
      </w:r>
      <w:r w:rsidR="008357AC" w:rsidRPr="00C35603">
        <w:rPr>
          <w:color w:val="000000"/>
        </w:rPr>
        <w:t>11</w:t>
      </w:r>
      <w:r w:rsidR="00EE3F51">
        <w:rPr>
          <w:color w:val="000000"/>
        </w:rPr>
        <w:t>99</w:t>
      </w:r>
      <w:r w:rsidRPr="00C35603">
        <w:rPr>
          <w:color w:val="000000"/>
        </w:rPr>
        <w:t xml:space="preserve"> бесхозяйных объектов.</w:t>
      </w:r>
    </w:p>
    <w:p w:rsidR="00EC44F0" w:rsidRPr="00C35603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C35603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C35603">
        <w:rPr>
          <w:color w:val="000000"/>
        </w:rPr>
        <w:t xml:space="preserve"> администрации Города Томска</w:t>
      </w:r>
      <w:r w:rsidRPr="00C35603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F02E97" w:rsidRPr="00C35603" w:rsidRDefault="00F02E97" w:rsidP="00F02E97">
      <w:pPr>
        <w:ind w:firstLine="720"/>
        <w:jc w:val="both"/>
      </w:pPr>
      <w:r w:rsidRPr="00C35603">
        <w:t xml:space="preserve">В Федеральный Закон № 69-ФЗ «О газоснабжении в Российской Федерации» внесены изменения, согласно которым решение вопросов газификации населённых пунктов возложено на Единого оператора газификации. </w:t>
      </w:r>
      <w:proofErr w:type="spellStart"/>
      <w:r w:rsidRPr="00C35603">
        <w:t>Догазификацию</w:t>
      </w:r>
      <w:proofErr w:type="spellEnd"/>
      <w:r w:rsidRPr="00C35603">
        <w:t xml:space="preserve"> домовладений производит Единый оператор газификации на безвозмездной основе до границ земельного участка. Представителем Единого оператора газификации в Городе Томске является ООО «Газпром газораспределение Томск».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</w:t>
      </w:r>
      <w:r w:rsidR="00C82322" w:rsidRPr="00C35603">
        <w:t>затопления — это</w:t>
      </w:r>
      <w:r w:rsidRPr="00C35603">
        <w:t xml:space="preserve"> объекты р. Томь и р. </w:t>
      </w:r>
      <w:proofErr w:type="spellStart"/>
      <w:r w:rsidRPr="00C35603">
        <w:t>Ушайка</w:t>
      </w:r>
      <w:proofErr w:type="spellEnd"/>
      <w:r w:rsidRPr="00C35603">
        <w:t>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>Река Томь берет начало в горном массиве на стыке Кузнецкого Алатау и Абаканского хребта, является правым притоком реки Оби. Длина реки составляет 827</w:t>
      </w:r>
      <w:r w:rsidR="00420921">
        <w:t xml:space="preserve"> </w:t>
      </w:r>
      <w:r w:rsidRPr="00C35603">
        <w:t xml:space="preserve">км. На своем протяжении пересекает территорию северо-восточных районов Горной </w:t>
      </w:r>
      <w:proofErr w:type="spellStart"/>
      <w:r w:rsidRPr="00C35603">
        <w:t>Шории</w:t>
      </w:r>
      <w:proofErr w:type="spellEnd"/>
      <w:r w:rsidRPr="00C35603">
        <w:t>, центральной части Кузнецкой котловины и течет в пределах Западно-Сибирской равнины.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Площадь водосбора реки Томи до устья 62000 км, до </w:t>
      </w:r>
      <w:r w:rsidR="0090311B" w:rsidRPr="00C35603">
        <w:t xml:space="preserve">муниципального образования «Город Томск» </w:t>
      </w:r>
      <w:r w:rsidRPr="00C35603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C35603">
        <w:t>мБС</w:t>
      </w:r>
      <w:proofErr w:type="spellEnd"/>
      <w:r w:rsidR="00C5065A" w:rsidRPr="00C35603">
        <w:t xml:space="preserve"> (метры Балтийской системы)</w:t>
      </w:r>
      <w:r w:rsidRPr="00C35603">
        <w:t>.</w:t>
      </w:r>
    </w:p>
    <w:p w:rsidR="008252F6" w:rsidRPr="00C35603" w:rsidRDefault="0090311B" w:rsidP="008252F6">
      <w:pPr>
        <w:shd w:val="clear" w:color="auto" w:fill="FFFFFF"/>
        <w:ind w:firstLine="851"/>
        <w:jc w:val="both"/>
      </w:pPr>
      <w:r w:rsidRPr="00C35603">
        <w:t xml:space="preserve">Муниципальное образование «Город Томск» </w:t>
      </w:r>
      <w:r w:rsidR="008252F6" w:rsidRPr="00C35603">
        <w:t xml:space="preserve"> расположен</w:t>
      </w:r>
      <w:r w:rsidRPr="00C35603">
        <w:t>о</w:t>
      </w:r>
      <w:r w:rsidR="008252F6" w:rsidRPr="00C35603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</w:t>
      </w:r>
      <w:r w:rsidR="008252F6" w:rsidRPr="00C35603">
        <w:lastRenderedPageBreak/>
        <w:t>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proofErr w:type="spellStart"/>
      <w:r w:rsidRPr="00C35603">
        <w:t>Уровенный</w:t>
      </w:r>
      <w:proofErr w:type="spellEnd"/>
      <w:r w:rsidRPr="00C35603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Река </w:t>
      </w:r>
      <w:proofErr w:type="spellStart"/>
      <w:r w:rsidRPr="00C35603">
        <w:t>Ушайка</w:t>
      </w:r>
      <w:proofErr w:type="spellEnd"/>
      <w:r w:rsidRPr="00C35603">
        <w:t xml:space="preserve"> берет начало на Томь-</w:t>
      </w:r>
      <w:proofErr w:type="spellStart"/>
      <w:r w:rsidRPr="00C35603">
        <w:t>Яйском</w:t>
      </w:r>
      <w:proofErr w:type="spellEnd"/>
      <w:r w:rsidRPr="00C35603">
        <w:t xml:space="preserve"> междуречье на высоте 242 м в 10 км к востоку от с. </w:t>
      </w:r>
      <w:proofErr w:type="spellStart"/>
      <w:r w:rsidRPr="00C35603">
        <w:t>Межениновка</w:t>
      </w:r>
      <w:proofErr w:type="spellEnd"/>
      <w:r w:rsidRPr="00C35603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C35603">
        <w:t>р.Ушайки</w:t>
      </w:r>
      <w:proofErr w:type="spellEnd"/>
      <w:r w:rsidRPr="00C35603">
        <w:t xml:space="preserve"> составляет 78 км, площадь водосбора - 744 км2.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В районе пос. Степановки долина реки шириной до 200 м пойменная, </w:t>
      </w:r>
      <w:proofErr w:type="spellStart"/>
      <w:r w:rsidRPr="00C35603">
        <w:t>ящикообразная</w:t>
      </w:r>
      <w:proofErr w:type="spellEnd"/>
      <w:r w:rsidRPr="00C35603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Русло однорукавное, устойчивое, слабоизвилистое. В районе ул. Короленко р. </w:t>
      </w:r>
      <w:proofErr w:type="spellStart"/>
      <w:r w:rsidRPr="00C35603">
        <w:t>Ушайка</w:t>
      </w:r>
      <w:proofErr w:type="spellEnd"/>
      <w:r w:rsidRPr="00C35603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По характеру водного режима </w:t>
      </w:r>
      <w:proofErr w:type="spellStart"/>
      <w:r w:rsidRPr="00C35603">
        <w:t>р.Ушайка</w:t>
      </w:r>
      <w:proofErr w:type="spellEnd"/>
      <w:r w:rsidRPr="00C35603">
        <w:t xml:space="preserve"> относится к рекам с весенним половодьем и паводками в теплое время.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C35603">
        <w:t>р.Ушайка</w:t>
      </w:r>
      <w:proofErr w:type="spellEnd"/>
      <w:r w:rsidRPr="00C35603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C35603" w:rsidRDefault="008252F6" w:rsidP="008252F6">
      <w:pPr>
        <w:shd w:val="clear" w:color="auto" w:fill="FFFFFF"/>
        <w:ind w:firstLine="851"/>
        <w:jc w:val="both"/>
      </w:pPr>
      <w:r w:rsidRPr="00C35603">
        <w:t>На подъеме и часто на пике половодья может проходить ледоход разной интенсивности. Существенных заторов не о</w:t>
      </w:r>
      <w:r w:rsidR="002A33F7" w:rsidRPr="00C35603">
        <w:t>бразуется. В половодье отмечают</w:t>
      </w:r>
      <w:r w:rsidRPr="00C35603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Default="008252F6" w:rsidP="008252F6">
      <w:pPr>
        <w:shd w:val="clear" w:color="auto" w:fill="FFFFFF"/>
        <w:ind w:firstLine="851"/>
        <w:jc w:val="both"/>
      </w:pPr>
      <w:r w:rsidRPr="00C35603">
        <w:t xml:space="preserve">Наивысший уровень 273 см за весь период наблюдений на р. </w:t>
      </w:r>
      <w:proofErr w:type="spellStart"/>
      <w:r w:rsidRPr="00C35603">
        <w:t>Ушайка</w:t>
      </w:r>
      <w:proofErr w:type="spellEnd"/>
      <w:r w:rsidRPr="00C35603">
        <w:t xml:space="preserve"> у п. Сте</w:t>
      </w:r>
      <w:r w:rsidR="00985F34" w:rsidRPr="00C35603">
        <w:t>пановка наблюдался 02.05.1984</w:t>
      </w:r>
      <w:r w:rsidRPr="00C35603">
        <w:t xml:space="preserve"> при редком ледоходе. Амплитуда колебания уровней воды за год составляет 200-250 см.</w:t>
      </w:r>
    </w:p>
    <w:p w:rsidR="009C702F" w:rsidRDefault="009C702F" w:rsidP="008252F6">
      <w:pPr>
        <w:shd w:val="clear" w:color="auto" w:fill="FFFFFF"/>
        <w:ind w:firstLine="851"/>
        <w:jc w:val="both"/>
      </w:pPr>
    </w:p>
    <w:p w:rsidR="009C702F" w:rsidRPr="008A5D7A" w:rsidRDefault="009C702F" w:rsidP="009C702F">
      <w:pPr>
        <w:shd w:val="clear" w:color="auto" w:fill="FFFFFF"/>
        <w:ind w:firstLine="851"/>
        <w:jc w:val="center"/>
        <w:rPr>
          <w:b/>
        </w:rPr>
      </w:pPr>
      <w:r w:rsidRPr="008A5D7A">
        <w:rPr>
          <w:b/>
        </w:rPr>
        <w:t>Ожидаемые результаты реализации муниципальной программы</w:t>
      </w:r>
    </w:p>
    <w:p w:rsidR="00B73163" w:rsidRPr="008A5D7A" w:rsidRDefault="00B73163" w:rsidP="00B73163">
      <w:pPr>
        <w:shd w:val="clear" w:color="auto" w:fill="FFFFFF"/>
        <w:ind w:firstLine="851"/>
        <w:jc w:val="both"/>
      </w:pPr>
      <w:r w:rsidRPr="008A5D7A">
        <w:t>Реализация муниципальной программы позволит создать благоприятные условия для формирования качественной инфраструктуры Города Томска и обеспечить достижение следующих основных результатов: </w:t>
      </w:r>
    </w:p>
    <w:p w:rsidR="00B73163" w:rsidRPr="008A5D7A" w:rsidRDefault="00B73163" w:rsidP="00B73163">
      <w:pPr>
        <w:pStyle w:val="a3"/>
        <w:numPr>
          <w:ilvl w:val="0"/>
          <w:numId w:val="10"/>
        </w:numPr>
      </w:pPr>
      <w:r w:rsidRPr="008A5D7A">
        <w:t>Обеспечение безопасности гидротехнических сооружений (ГТС), защита территории и населения от негативного воздействия сточных и (или) дренажных вод</w:t>
      </w:r>
    </w:p>
    <w:p w:rsidR="00B73163" w:rsidRPr="008A5D7A" w:rsidRDefault="00B73163" w:rsidP="00B73163">
      <w:pPr>
        <w:pStyle w:val="a3"/>
        <w:numPr>
          <w:ilvl w:val="0"/>
          <w:numId w:val="10"/>
        </w:numPr>
      </w:pPr>
      <w:r w:rsidRPr="008A5D7A">
        <w:lastRenderedPageBreak/>
        <w:t>Обеспечение реализации муниципальной политики в сфере жилищно-коммунального хозяйства, развития инженерной инфраструктуры, иных вопросов городского хозяйства и эффективного исполнения функций департамента городского хозяйства</w:t>
      </w:r>
    </w:p>
    <w:p w:rsidR="00B73163" w:rsidRPr="008A5D7A" w:rsidRDefault="00B73163" w:rsidP="00B73163">
      <w:pPr>
        <w:pStyle w:val="a3"/>
        <w:numPr>
          <w:ilvl w:val="0"/>
          <w:numId w:val="10"/>
        </w:numPr>
      </w:pPr>
      <w:r w:rsidRPr="008A5D7A">
        <w:t>Модернизация и развитие инженерной инфраструктуры</w:t>
      </w:r>
    </w:p>
    <w:p w:rsidR="00B73163" w:rsidRPr="008A5D7A" w:rsidRDefault="00B73163" w:rsidP="00B73163">
      <w:pPr>
        <w:pStyle w:val="a3"/>
        <w:numPr>
          <w:ilvl w:val="0"/>
          <w:numId w:val="10"/>
        </w:numPr>
      </w:pPr>
      <w:r w:rsidRPr="008A5D7A">
        <w:t>Повышение уровня газификации территории муниципального образования «Город Томск»</w:t>
      </w:r>
    </w:p>
    <w:p w:rsidR="00AE4B56" w:rsidRPr="008A5D7A" w:rsidRDefault="00B73163" w:rsidP="00B73163">
      <w:pPr>
        <w:pStyle w:val="a3"/>
        <w:numPr>
          <w:ilvl w:val="0"/>
          <w:numId w:val="10"/>
        </w:numPr>
      </w:pPr>
      <w:r w:rsidRPr="008A5D7A">
        <w:t>Обеспечение защищенности населения и объектов экономики от негативного воздействия поверхностных вод</w:t>
      </w:r>
    </w:p>
    <w:p w:rsidR="007779D0" w:rsidRPr="008A5D7A" w:rsidRDefault="00B73163" w:rsidP="00B73163">
      <w:pPr>
        <w:pStyle w:val="a3"/>
        <w:ind w:left="360"/>
      </w:pPr>
      <w:r w:rsidRPr="008A5D7A">
        <w:t>По окончании реализации муниципальной программы в 2030 году</w:t>
      </w:r>
      <w:r w:rsidR="007779D0" w:rsidRPr="008A5D7A">
        <w:t>:</w:t>
      </w:r>
    </w:p>
    <w:p w:rsidR="00B73163" w:rsidRPr="008A5D7A" w:rsidRDefault="007779D0" w:rsidP="00B73163">
      <w:pPr>
        <w:pStyle w:val="a3"/>
        <w:ind w:left="360"/>
      </w:pPr>
      <w:r w:rsidRPr="008A5D7A">
        <w:t>-</w:t>
      </w:r>
      <w:r w:rsidR="00B73163" w:rsidRPr="008A5D7A">
        <w:t xml:space="preserve"> Доля защищённой территории от общей площади города, требующей защиты от негативного воздействия оползневых процессов, сточных и (или) дренажных вод</w:t>
      </w:r>
      <w:r w:rsidRPr="008A5D7A">
        <w:t xml:space="preserve"> составит 100 %; </w:t>
      </w:r>
    </w:p>
    <w:p w:rsidR="007779D0" w:rsidRPr="008A5D7A" w:rsidRDefault="007779D0" w:rsidP="00B73163">
      <w:pPr>
        <w:pStyle w:val="a3"/>
        <w:ind w:left="360"/>
      </w:pPr>
      <w:r w:rsidRPr="008A5D7A">
        <w:t>- Доля показателей целей и задач муниципальной программы, достигнутых по итогам отчетного года на 90 - 100%, составит 100 %;</w:t>
      </w:r>
    </w:p>
    <w:p w:rsidR="007779D0" w:rsidRPr="008A5D7A" w:rsidRDefault="007779D0" w:rsidP="00B73163">
      <w:pPr>
        <w:pStyle w:val="a3"/>
        <w:ind w:left="360"/>
      </w:pPr>
      <w:r w:rsidRPr="008A5D7A">
        <w:t>- Прирост стоимости муниципальных объектов инженерной инфраструктуры, обеспечивающих жителей услугами электро-, тепло-, газо-, водоснабжения и водоотведения составит 5 %;</w:t>
      </w:r>
    </w:p>
    <w:p w:rsidR="007779D0" w:rsidRPr="008A5D7A" w:rsidRDefault="007779D0" w:rsidP="00B73163">
      <w:pPr>
        <w:pStyle w:val="a3"/>
        <w:ind w:left="360"/>
      </w:pPr>
      <w:r w:rsidRPr="008A5D7A">
        <w:t>- Снижение уровня газификации муниципального образования «Город Томск» сжиженным углеводородным газом составит 100 %;</w:t>
      </w:r>
    </w:p>
    <w:p w:rsidR="007779D0" w:rsidRPr="008A5D7A" w:rsidRDefault="007779D0" w:rsidP="00B73163">
      <w:pPr>
        <w:pStyle w:val="a3"/>
        <w:ind w:left="360"/>
      </w:pPr>
      <w:r w:rsidRPr="008A5D7A">
        <w:t>- Доля защищённой территории от общей площади города, требующей защиты от негативного воздействия поверхностных вод, составит 95 %.</w:t>
      </w:r>
    </w:p>
    <w:p w:rsidR="00D01083" w:rsidRPr="008A5D7A" w:rsidRDefault="00D01083" w:rsidP="00D01083">
      <w:pPr>
        <w:ind w:firstLine="709"/>
        <w:jc w:val="center"/>
      </w:pPr>
    </w:p>
    <w:p w:rsidR="00D01083" w:rsidRPr="008A5D7A" w:rsidRDefault="00D01083" w:rsidP="00D01083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установленных в Стратегии социально - экономического развития муниципального образования </w:t>
      </w:r>
      <w:r w:rsidRPr="008A5D7A">
        <w:rPr>
          <w:rFonts w:eastAsiaTheme="minorHAnsi"/>
          <w:b/>
          <w:color w:val="000000"/>
          <w:lang w:eastAsia="en-US"/>
        </w:rPr>
        <w:t>«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Город Томск</w:t>
      </w:r>
      <w:r w:rsidRPr="008A5D7A">
        <w:rPr>
          <w:rFonts w:eastAsiaTheme="minorHAnsi"/>
          <w:b/>
          <w:color w:val="000000"/>
          <w:lang w:eastAsia="en-US"/>
        </w:rPr>
        <w:t xml:space="preserve">» 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до 2030 года, в сравнении с показателями основных административных центров Сибирского федерального округа</w:t>
      </w:r>
      <w:r w:rsidR="00F27334"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(данные предоставлены ассоциацией сибирских и дальневосточных городов)</w:t>
      </w:r>
    </w:p>
    <w:p w:rsidR="00F27334" w:rsidRPr="008A5D7A" w:rsidRDefault="00F27334" w:rsidP="00D01083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D01083" w:rsidRPr="008A5D7A" w:rsidRDefault="007779D0" w:rsidP="00D01083">
      <w:pPr>
        <w:ind w:firstLine="709"/>
        <w:jc w:val="both"/>
      </w:pPr>
      <w:r w:rsidRPr="008A5D7A">
        <w:t>Показатель «Повышение удовлетворённости жителей оказанными услугами электро-, тепло-, газо-, водоснабжения и водоотведения (количество жалоб населения на качество коммунальных услуг, ед.)»</w:t>
      </w:r>
      <w:r w:rsidR="004C4C12" w:rsidRPr="008A5D7A">
        <w:t>, рассчитывается как обращения физических и юридических лиц на деятельность департамента городского хозяйства администрации Города Томска, поступившие в департамент городского хозяйства администрации Города Томска за отчетный период, по которым выявлены нарушения в части реализации муниципальной программы.</w:t>
      </w:r>
    </w:p>
    <w:p w:rsidR="00D01083" w:rsidRDefault="004C4C12" w:rsidP="00150DEA">
      <w:pPr>
        <w:ind w:firstLine="709"/>
        <w:jc w:val="both"/>
      </w:pPr>
      <w:r w:rsidRPr="008A5D7A">
        <w:t>Так в 2020 году показатель составил – 1021 ед., в 2021 году – 1287 ед., в 2022 году – 1522 ед., ожидаемое значение к 2030 году составит 1500 ед. Данные по этому показателю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tbl>
      <w:tblPr>
        <w:tblStyle w:val="a6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567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C96A6F" w:rsidRPr="00C96A6F" w:rsidTr="00C75715">
        <w:trPr>
          <w:trHeight w:val="390"/>
        </w:trPr>
        <w:tc>
          <w:tcPr>
            <w:tcW w:w="993" w:type="dxa"/>
            <w:vMerge w:val="restart"/>
            <w:hideMark/>
          </w:tcPr>
          <w:p w:rsidR="00C96A6F" w:rsidRPr="00C96A6F" w:rsidRDefault="00C96A6F" w:rsidP="002B7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12"/>
          </w:tcPr>
          <w:p w:rsidR="00C96A6F" w:rsidRPr="00C96A6F" w:rsidRDefault="00C96A6F" w:rsidP="002B7D88">
            <w:pPr>
              <w:tabs>
                <w:tab w:val="left" w:pos="5910"/>
              </w:tabs>
              <w:jc w:val="center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Значение показателя</w:t>
            </w:r>
          </w:p>
        </w:tc>
      </w:tr>
      <w:tr w:rsidR="00C96A6F" w:rsidRPr="00C96A6F" w:rsidTr="000C1B95">
        <w:trPr>
          <w:trHeight w:val="464"/>
        </w:trPr>
        <w:tc>
          <w:tcPr>
            <w:tcW w:w="993" w:type="dxa"/>
            <w:vMerge/>
            <w:hideMark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12"/>
          </w:tcPr>
          <w:p w:rsidR="00C96A6F" w:rsidRPr="00C96A6F" w:rsidRDefault="00C96A6F" w:rsidP="00C96A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6A6F">
              <w:rPr>
                <w:bCs/>
                <w:sz w:val="20"/>
                <w:szCs w:val="20"/>
              </w:rPr>
              <w:t>Удельный вес повреждений на сетях инженерной инфраструктуры, ед. на 1 км.:</w:t>
            </w:r>
          </w:p>
        </w:tc>
      </w:tr>
      <w:tr w:rsidR="00C96A6F" w:rsidRPr="00C96A6F" w:rsidTr="006D7139">
        <w:trPr>
          <w:trHeight w:val="356"/>
        </w:trPr>
        <w:tc>
          <w:tcPr>
            <w:tcW w:w="993" w:type="dxa"/>
            <w:vMerge/>
            <w:hideMark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gridSpan w:val="3"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gridSpan w:val="3"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gridSpan w:val="3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2030 (прогноз)</w:t>
            </w:r>
          </w:p>
        </w:tc>
      </w:tr>
      <w:tr w:rsidR="00C96A6F" w:rsidRPr="00C96A6F" w:rsidTr="00C96A6F">
        <w:trPr>
          <w:trHeight w:val="1593"/>
        </w:trPr>
        <w:tc>
          <w:tcPr>
            <w:tcW w:w="993" w:type="dxa"/>
          </w:tcPr>
          <w:p w:rsidR="00C96A6F" w:rsidRPr="00C96A6F" w:rsidRDefault="00C96A6F" w:rsidP="002B7D88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851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850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</w:tr>
      <w:tr w:rsidR="00C96A6F" w:rsidRPr="00C96A6F" w:rsidTr="00C96A6F">
        <w:trPr>
          <w:trHeight w:val="389"/>
        </w:trPr>
        <w:tc>
          <w:tcPr>
            <w:tcW w:w="993" w:type="dxa"/>
          </w:tcPr>
          <w:p w:rsidR="00C96A6F" w:rsidRPr="00C96A6F" w:rsidRDefault="00C96A6F" w:rsidP="00C96A6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Красноярск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0,003005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0,001534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0,001973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383"/>
        </w:trPr>
        <w:tc>
          <w:tcPr>
            <w:tcW w:w="993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г. Новосибирск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1,421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0,378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1,478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0,313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1,616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0,308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43"/>
        </w:trPr>
        <w:tc>
          <w:tcPr>
            <w:tcW w:w="993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Омск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Иркутск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0,902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0,884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Кемерово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C96A6F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Барнаул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0,503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0,516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0,472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C96A6F">
            <w:pPr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2B7D88">
            <w:pPr>
              <w:ind w:firstLine="13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2,45</w:t>
            </w:r>
          </w:p>
        </w:tc>
        <w:tc>
          <w:tcPr>
            <w:tcW w:w="567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2,11</w:t>
            </w:r>
          </w:p>
        </w:tc>
        <w:tc>
          <w:tcPr>
            <w:tcW w:w="850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0,83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709" w:type="dxa"/>
          </w:tcPr>
          <w:p w:rsidR="00C96A6F" w:rsidRPr="00C96A6F" w:rsidRDefault="00C96A6F" w:rsidP="002B7D88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bookmarkStart w:id="0" w:name="_GoBack"/>
            <w:bookmarkEnd w:id="0"/>
          </w:p>
        </w:tc>
      </w:tr>
    </w:tbl>
    <w:p w:rsidR="007779D0" w:rsidRPr="007779D0" w:rsidRDefault="007779D0" w:rsidP="007779D0">
      <w:pPr>
        <w:numPr>
          <w:ilvl w:val="0"/>
          <w:numId w:val="1"/>
        </w:numPr>
        <w:jc w:val="center"/>
        <w:rPr>
          <w:lang w:val="en-US"/>
        </w:rPr>
      </w:pPr>
      <w:r>
        <w:t>МЕХАНИЗМЫ УПРАВЛЕНИЯ И КОНТРОЛЯ</w:t>
      </w:r>
    </w:p>
    <w:p w:rsidR="00650414" w:rsidRPr="00C35603" w:rsidRDefault="00650414" w:rsidP="00650414">
      <w:pPr>
        <w:ind w:left="1800"/>
      </w:pPr>
    </w:p>
    <w:p w:rsidR="00650414" w:rsidRPr="00C35603" w:rsidRDefault="00650414" w:rsidP="00650414">
      <w:pPr>
        <w:ind w:firstLine="851"/>
        <w:jc w:val="both"/>
      </w:pPr>
      <w:r w:rsidRPr="00C35603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C35603" w:rsidRDefault="00650414" w:rsidP="00650414">
      <w:pPr>
        <w:ind w:firstLine="851"/>
        <w:jc w:val="both"/>
        <w:rPr>
          <w:spacing w:val="-4"/>
        </w:rPr>
      </w:pPr>
      <w:r w:rsidRPr="00C35603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C35603" w:rsidRDefault="00650414" w:rsidP="00650414">
      <w:pPr>
        <w:ind w:firstLine="851"/>
        <w:jc w:val="both"/>
      </w:pPr>
      <w:r w:rsidRPr="00C35603">
        <w:t>Реализация Программы осуществляется в несколько этапов (20</w:t>
      </w:r>
      <w:r w:rsidR="00EE3F51">
        <w:t>24</w:t>
      </w:r>
      <w:r w:rsidRPr="00C35603">
        <w:t xml:space="preserve"> - </w:t>
      </w:r>
      <w:r w:rsidR="00155D64" w:rsidRPr="00C35603">
        <w:t>20</w:t>
      </w:r>
      <w:r w:rsidR="00EE3F51">
        <w:t>30</w:t>
      </w:r>
      <w:r w:rsidRPr="00C35603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C35603">
        <w:t>.</w:t>
      </w:r>
    </w:p>
    <w:p w:rsidR="001C053E" w:rsidRPr="00C35603" w:rsidRDefault="001C053E" w:rsidP="001C053E">
      <w:pPr>
        <w:ind w:firstLine="851"/>
        <w:jc w:val="both"/>
      </w:pPr>
      <w:r w:rsidRPr="00C35603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C35603">
        <w:t>ресурсоснабжающими</w:t>
      </w:r>
      <w:proofErr w:type="spellEnd"/>
      <w:r w:rsidRPr="00C35603">
        <w:t xml:space="preserve"> организациями </w:t>
      </w:r>
      <w:r w:rsidR="0090311B" w:rsidRPr="00C35603">
        <w:t>муниципального образования «Город Томск»</w:t>
      </w:r>
      <w:r w:rsidRPr="00C35603">
        <w:t>.</w:t>
      </w:r>
    </w:p>
    <w:p w:rsidR="001C053E" w:rsidRPr="00C35603" w:rsidRDefault="001C053E" w:rsidP="001C053E">
      <w:pPr>
        <w:ind w:firstLine="851"/>
        <w:jc w:val="both"/>
      </w:pPr>
      <w:r w:rsidRPr="00C3560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C35603" w:rsidRDefault="00650414" w:rsidP="00650414">
      <w:pPr>
        <w:adjustRightInd w:val="0"/>
        <w:ind w:firstLine="851"/>
        <w:jc w:val="both"/>
        <w:outlineLvl w:val="1"/>
      </w:pPr>
      <w:bookmarkStart w:id="1" w:name="_Hlt81974917"/>
      <w:bookmarkStart w:id="2" w:name="_Hlt81974920"/>
      <w:bookmarkEnd w:id="1"/>
      <w:bookmarkEnd w:id="2"/>
      <w:r w:rsidRPr="00C35603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C35603" w:rsidRDefault="00E9504E" w:rsidP="00650414">
      <w:pPr>
        <w:adjustRightInd w:val="0"/>
        <w:ind w:firstLine="851"/>
        <w:jc w:val="both"/>
        <w:outlineLvl w:val="1"/>
      </w:pPr>
      <w:r w:rsidRPr="00C35603">
        <w:t xml:space="preserve">Ответственность за достижение показателей целей, задач и мероприятий подпрограмм </w:t>
      </w:r>
      <w:r w:rsidR="0061554C" w:rsidRPr="00C35603">
        <w:t>П</w:t>
      </w:r>
      <w:r w:rsidRPr="00C35603">
        <w:t xml:space="preserve">рограммы несут соисполнители </w:t>
      </w:r>
      <w:r w:rsidR="0061554C" w:rsidRPr="00C35603">
        <w:t>П</w:t>
      </w:r>
      <w:r w:rsidRPr="00C35603">
        <w:t>рограммы.</w:t>
      </w:r>
    </w:p>
    <w:p w:rsidR="000B2C91" w:rsidRPr="00C35603" w:rsidRDefault="000B2C91" w:rsidP="00650414">
      <w:pPr>
        <w:adjustRightInd w:val="0"/>
        <w:ind w:firstLine="851"/>
        <w:jc w:val="both"/>
        <w:outlineLvl w:val="1"/>
      </w:pPr>
      <w:r w:rsidRPr="00C35603">
        <w:t xml:space="preserve">Привлечение средств бюджета Томской области с целью </w:t>
      </w:r>
      <w:proofErr w:type="spellStart"/>
      <w:r w:rsidRPr="00C35603">
        <w:t>софинансирования</w:t>
      </w:r>
      <w:proofErr w:type="spellEnd"/>
      <w:r w:rsidRPr="00C35603">
        <w:t xml:space="preserve"> мероприятий Программы осуществля</w:t>
      </w:r>
      <w:r w:rsidR="0004547E" w:rsidRPr="00C35603">
        <w:t>ется</w:t>
      </w:r>
      <w:r w:rsidR="005F42E4" w:rsidRPr="00C35603">
        <w:t xml:space="preserve"> </w:t>
      </w:r>
      <w:r w:rsidRPr="00C35603">
        <w:t>в рамках реализации следующих государственных программ:</w:t>
      </w:r>
    </w:p>
    <w:p w:rsidR="000B2C91" w:rsidRPr="00C35603" w:rsidRDefault="004F5C1F" w:rsidP="0004547E">
      <w:pPr>
        <w:autoSpaceDE w:val="0"/>
        <w:autoSpaceDN w:val="0"/>
        <w:adjustRightInd w:val="0"/>
        <w:ind w:firstLine="709"/>
        <w:jc w:val="both"/>
      </w:pPr>
      <w:r w:rsidRPr="00C35603">
        <w:t>1) Г</w:t>
      </w:r>
      <w:r w:rsidRPr="00C35603">
        <w:rPr>
          <w:rFonts w:eastAsiaTheme="minorHAnsi"/>
          <w:lang w:eastAsia="en-US"/>
        </w:rPr>
        <w:t>осударственная</w:t>
      </w:r>
      <w:r w:rsidR="0004547E" w:rsidRPr="00C35603">
        <w:rPr>
          <w:rFonts w:eastAsiaTheme="minorHAnsi"/>
          <w:lang w:eastAsia="en-US"/>
        </w:rPr>
        <w:t xml:space="preserve"> программ</w:t>
      </w:r>
      <w:r w:rsidRPr="00C35603">
        <w:rPr>
          <w:rFonts w:eastAsiaTheme="minorHAnsi"/>
          <w:lang w:eastAsia="en-US"/>
        </w:rPr>
        <w:t>а</w:t>
      </w:r>
      <w:r w:rsidR="0004547E" w:rsidRPr="00C35603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C35603">
        <w:t xml:space="preserve">. Порядок и условия привлечения </w:t>
      </w:r>
      <w:proofErr w:type="spellStart"/>
      <w:r w:rsidR="000B2C91" w:rsidRPr="00C35603">
        <w:t>софинансирования</w:t>
      </w:r>
      <w:proofErr w:type="spellEnd"/>
      <w:r w:rsidR="000B2C91" w:rsidRPr="00C35603">
        <w:t xml:space="preserve"> определены Порядком предоставления </w:t>
      </w:r>
      <w:r w:rsidR="0047677C" w:rsidRPr="00C35603">
        <w:t xml:space="preserve">и распределения субсидий </w:t>
      </w:r>
      <w:r w:rsidR="000B2C91" w:rsidRPr="00C35603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C35603">
        <w:t>;</w:t>
      </w:r>
    </w:p>
    <w:p w:rsidR="00A631E0" w:rsidRPr="00C35603" w:rsidRDefault="008E51A2" w:rsidP="00A631E0">
      <w:pPr>
        <w:autoSpaceDE w:val="0"/>
        <w:autoSpaceDN w:val="0"/>
        <w:adjustRightInd w:val="0"/>
        <w:ind w:firstLine="709"/>
        <w:jc w:val="both"/>
      </w:pPr>
      <w:r w:rsidRPr="00C35603">
        <w:t xml:space="preserve">2) </w:t>
      </w:r>
      <w:r w:rsidR="004F5C1F" w:rsidRPr="00C35603">
        <w:t>Г</w:t>
      </w:r>
      <w:r w:rsidR="004F5C1F" w:rsidRPr="00C35603">
        <w:rPr>
          <w:rFonts w:eastAsiaTheme="minorHAnsi"/>
          <w:lang w:eastAsia="en-US"/>
        </w:rPr>
        <w:t>осударственная программа</w:t>
      </w:r>
      <w:r w:rsidR="0004547E" w:rsidRPr="00C35603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C35603">
        <w:rPr>
          <w:rFonts w:eastAsiaTheme="minorHAnsi"/>
          <w:lang w:eastAsia="en-US"/>
        </w:rPr>
        <w:t>ой области от 25.09.2019 № 337а</w:t>
      </w:r>
      <w:r w:rsidR="0004547E" w:rsidRPr="00C35603">
        <w:t>.</w:t>
      </w:r>
      <w:r w:rsidRPr="00C35603">
        <w:t xml:space="preserve"> Порядок и условия привлечения </w:t>
      </w:r>
      <w:proofErr w:type="spellStart"/>
      <w:r w:rsidRPr="00C35603">
        <w:t>софинансирования</w:t>
      </w:r>
      <w:proofErr w:type="spellEnd"/>
      <w:r w:rsidRPr="00C35603">
        <w:t xml:space="preserve"> определены </w:t>
      </w:r>
      <w:r w:rsidR="00A631E0" w:rsidRPr="00C35603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C35603" w:rsidRDefault="008E51A2" w:rsidP="00012E62">
      <w:pPr>
        <w:autoSpaceDE w:val="0"/>
        <w:autoSpaceDN w:val="0"/>
        <w:adjustRightInd w:val="0"/>
        <w:ind w:firstLine="709"/>
        <w:jc w:val="both"/>
      </w:pPr>
      <w:r w:rsidRPr="00C35603">
        <w:lastRenderedPageBreak/>
        <w:t>3</w:t>
      </w:r>
      <w:r w:rsidR="008561A8" w:rsidRPr="00C35603">
        <w:t xml:space="preserve">) </w:t>
      </w:r>
      <w:r w:rsidR="004F5C1F" w:rsidRPr="00C35603">
        <w:t>Г</w:t>
      </w:r>
      <w:r w:rsidR="004F5C1F" w:rsidRPr="00C35603">
        <w:rPr>
          <w:rFonts w:eastAsiaTheme="minorHAnsi"/>
          <w:lang w:eastAsia="en-US"/>
        </w:rPr>
        <w:t>осударственная программа</w:t>
      </w:r>
      <w:r w:rsidR="0004547E" w:rsidRPr="00C35603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C30BED" w:rsidRPr="00C35603">
        <w:t>.</w:t>
      </w:r>
    </w:p>
    <w:p w:rsidR="006E54A9" w:rsidRPr="00C35603" w:rsidRDefault="006E54A9" w:rsidP="006E54A9">
      <w:pPr>
        <w:adjustRightInd w:val="0"/>
        <w:ind w:firstLine="851"/>
        <w:jc w:val="both"/>
        <w:outlineLvl w:val="1"/>
      </w:pPr>
      <w:r w:rsidRPr="00C35603">
        <w:t xml:space="preserve">Привлечение внебюджетных средств на реализацию мероприятий </w:t>
      </w:r>
      <w:r w:rsidR="0061554C" w:rsidRPr="00C35603">
        <w:t>П</w:t>
      </w:r>
      <w:r w:rsidRPr="00C35603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C35603">
        <w:t>ресурсоснабжающих</w:t>
      </w:r>
      <w:proofErr w:type="spellEnd"/>
      <w:r w:rsidRPr="00C35603">
        <w:t xml:space="preserve"> организаций </w:t>
      </w:r>
      <w:r w:rsidR="0090311B" w:rsidRPr="00C35603">
        <w:t xml:space="preserve">муниципального образования «Город Томск» </w:t>
      </w:r>
      <w:r w:rsidRPr="00C35603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C35603" w:rsidRDefault="00650414" w:rsidP="00650414">
      <w:pPr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C35603">
        <w:t>департаментом</w:t>
      </w:r>
      <w:r w:rsidRPr="00C35603">
        <w:t xml:space="preserve"> дорожной деятельности</w:t>
      </w:r>
      <w:r w:rsidR="00FE26C9" w:rsidRPr="00C35603">
        <w:t xml:space="preserve"> и</w:t>
      </w:r>
      <w:r w:rsidRPr="00C35603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C35603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C35603">
        <w:t xml:space="preserve">на текущий финансовый год </w:t>
      </w:r>
      <w:r w:rsidRPr="00C35603">
        <w:t>и плановый период и изменениями в данное решение;</w:t>
      </w:r>
    </w:p>
    <w:p w:rsidR="00650414" w:rsidRPr="00C35603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>подготовки отчетов о ходе реализации Программы;</w:t>
      </w:r>
    </w:p>
    <w:p w:rsidR="00650414" w:rsidRPr="00C35603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C35603">
        <w:t>софинансирования</w:t>
      </w:r>
      <w:proofErr w:type="spellEnd"/>
      <w:r w:rsidRPr="00C35603">
        <w:t xml:space="preserve"> из иных бюджетных источников и внебюджетных источников.</w:t>
      </w:r>
    </w:p>
    <w:p w:rsidR="00650414" w:rsidRPr="00C35603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C35603">
        <w:tab/>
      </w:r>
      <w:r w:rsidRPr="00C35603">
        <w:tab/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C35603">
        <w:t>департамент</w:t>
      </w:r>
      <w:r w:rsidRPr="00C35603">
        <w:t xml:space="preserve"> дорожной деятельности</w:t>
      </w:r>
      <w:r w:rsidR="00FE26C9" w:rsidRPr="00C35603">
        <w:t xml:space="preserve"> и</w:t>
      </w:r>
      <w:r w:rsidRPr="00C35603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</w:p>
    <w:p w:rsidR="00E9504E" w:rsidRPr="00C35603" w:rsidRDefault="00E9504E" w:rsidP="00E9504E">
      <w:pPr>
        <w:adjustRightInd w:val="0"/>
        <w:ind w:firstLine="851"/>
        <w:jc w:val="both"/>
        <w:outlineLvl w:val="1"/>
      </w:pPr>
      <w:r w:rsidRPr="00C35603">
        <w:t xml:space="preserve">Мониторинг и контроль хода реализации </w:t>
      </w:r>
      <w:r w:rsidR="0061554C" w:rsidRPr="00C35603">
        <w:t>П</w:t>
      </w:r>
      <w:r w:rsidRPr="00C35603">
        <w:t>рограммы осуществляет департамент городского хозяйства</w:t>
      </w:r>
      <w:r w:rsidR="0090311B" w:rsidRPr="00C35603">
        <w:t xml:space="preserve"> администрации Города Томска</w:t>
      </w:r>
      <w:r w:rsidRPr="00C35603">
        <w:t>.</w:t>
      </w:r>
    </w:p>
    <w:p w:rsidR="0031148A" w:rsidRPr="00C35603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C35603">
        <w:tab/>
      </w:r>
      <w:r w:rsidRPr="00C35603">
        <w:tab/>
      </w:r>
      <w:r w:rsidR="009D0E76" w:rsidRPr="00C35603">
        <w:t xml:space="preserve">Соисполнители </w:t>
      </w:r>
      <w:r w:rsidR="008A5867" w:rsidRPr="00C35603">
        <w:t xml:space="preserve">подпрограмм предоставляют в адрес департамента городского хозяйства </w:t>
      </w:r>
      <w:r w:rsidR="003A37BF" w:rsidRPr="00C35603">
        <w:t xml:space="preserve">администрации Города Томска </w:t>
      </w:r>
      <w:r w:rsidR="008A5867" w:rsidRPr="00C35603">
        <w:t xml:space="preserve"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C35603">
        <w:t>Excel</w:t>
      </w:r>
      <w:proofErr w:type="spellEnd"/>
      <w:r w:rsidR="008A5867" w:rsidRPr="00C35603">
        <w:t xml:space="preserve"> и MS </w:t>
      </w:r>
      <w:proofErr w:type="spellStart"/>
      <w:r w:rsidR="008A5867" w:rsidRPr="00C35603">
        <w:t>Word</w:t>
      </w:r>
      <w:proofErr w:type="spellEnd"/>
      <w:r w:rsidR="008A5867" w:rsidRPr="00C3560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C35603">
        <w:t>П</w:t>
      </w:r>
      <w:r w:rsidRPr="00C35603">
        <w:t xml:space="preserve"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</w:t>
      </w:r>
      <w:r w:rsidRPr="00C35603">
        <w:lastRenderedPageBreak/>
        <w:t xml:space="preserve">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35603">
        <w:t>Excel</w:t>
      </w:r>
      <w:proofErr w:type="spellEnd"/>
      <w:r w:rsidRPr="00C35603">
        <w:t xml:space="preserve"> и MS </w:t>
      </w:r>
      <w:proofErr w:type="spellStart"/>
      <w:r w:rsidRPr="00C35603">
        <w:t>Word</w:t>
      </w:r>
      <w:proofErr w:type="spellEnd"/>
      <w:r w:rsidRPr="00C35603">
        <w:t xml:space="preserve"> соответственно) в 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>и департамент финансов</w:t>
      </w:r>
      <w:r w:rsidR="003A37BF" w:rsidRPr="00C35603">
        <w:t xml:space="preserve"> администрации Города Томска</w:t>
      </w:r>
      <w:r w:rsidRPr="00C35603">
        <w:t>.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 xml:space="preserve">и департамент финансов </w:t>
      </w:r>
      <w:r w:rsidR="003A37BF" w:rsidRPr="00C35603">
        <w:t xml:space="preserve">администрации Города Томска </w:t>
      </w:r>
      <w:r w:rsidRPr="00C35603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1) 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>на предмет: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- соответствия наименований и плановых значений показателей </w:t>
      </w:r>
      <w:r w:rsidR="0061554C" w:rsidRPr="00C35603">
        <w:t>П</w:t>
      </w:r>
      <w:r w:rsidRPr="00C35603">
        <w:t xml:space="preserve">рограммы в предварительном отчете показателям, утвержденным в </w:t>
      </w:r>
      <w:r w:rsidR="0061554C" w:rsidRPr="00C35603">
        <w:t>П</w:t>
      </w:r>
      <w:r w:rsidRPr="00C35603">
        <w:t>рограмме в последней редакции отчетного года, а также полноты представленных данных;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- соответствия фактических значений показателей </w:t>
      </w:r>
      <w:r w:rsidR="0061554C" w:rsidRPr="00C35603">
        <w:t>П</w:t>
      </w:r>
      <w:r w:rsidRPr="00C35603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C35603">
        <w:t>ии Города Томска от 28.10.2015 №</w:t>
      </w:r>
      <w:r w:rsidRPr="00C35603">
        <w:t xml:space="preserve"> р1180;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2) департамент финансов </w:t>
      </w:r>
      <w:r w:rsidR="003A37BF" w:rsidRPr="00C35603">
        <w:t xml:space="preserve">администрации Города Томска </w:t>
      </w:r>
      <w:r w:rsidRPr="00C35603">
        <w:t xml:space="preserve">на предмет соответствия объемов финансирования </w:t>
      </w:r>
      <w:r w:rsidR="0061554C" w:rsidRPr="00C35603">
        <w:t>П</w:t>
      </w:r>
      <w:r w:rsidRPr="00C35603">
        <w:t>рограммы, указанных в предварительн</w:t>
      </w:r>
      <w:r w:rsidR="009319C2" w:rsidRPr="00C35603">
        <w:t>ом</w:t>
      </w:r>
      <w:r w:rsidRPr="00C35603">
        <w:t xml:space="preserve"> отчет</w:t>
      </w:r>
      <w:r w:rsidR="009319C2" w:rsidRPr="00C35603">
        <w:t>е</w:t>
      </w:r>
      <w:r w:rsidRPr="00C35603">
        <w:t>, утвержденным решением Думы Города Томска о бюдж</w:t>
      </w:r>
      <w:r w:rsidR="007856D8" w:rsidRPr="00C35603">
        <w:t>ете муниципального образования «Город Томск»</w:t>
      </w:r>
      <w:r w:rsidRPr="00C35603">
        <w:t xml:space="preserve"> на очередной финансовый год и плановый период бюджетным ассигнованиям и произведенным кассовым расходам на и</w:t>
      </w:r>
      <w:r w:rsidR="00F06A25">
        <w:t xml:space="preserve">х реализацию в части </w:t>
      </w:r>
      <w:r w:rsidR="0061554C" w:rsidRPr="00C35603">
        <w:t>П</w:t>
      </w:r>
      <w:r w:rsidRPr="00C35603">
        <w:t>рограмм</w:t>
      </w:r>
      <w:r w:rsidR="009319C2" w:rsidRPr="00C35603">
        <w:t>ы</w:t>
      </w:r>
      <w:r w:rsidRPr="00C35603">
        <w:t>, подпрограмм и основных мероприятий;</w:t>
      </w:r>
    </w:p>
    <w:p w:rsidR="0031148A" w:rsidRPr="00C35603" w:rsidRDefault="00EA6025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3) и</w:t>
      </w:r>
      <w:r w:rsidR="0031148A" w:rsidRPr="00C35603">
        <w:t xml:space="preserve"> направляют свои замечания </w:t>
      </w:r>
      <w:r w:rsidR="006C51DE" w:rsidRPr="00C35603">
        <w:t>в адрес департамента городского хозяйства</w:t>
      </w:r>
      <w:r w:rsidR="003A37BF" w:rsidRPr="00C35603">
        <w:t xml:space="preserve"> администрации Города Томска</w:t>
      </w:r>
      <w:r w:rsidR="0031148A" w:rsidRPr="00C35603">
        <w:t>.</w:t>
      </w:r>
    </w:p>
    <w:p w:rsidR="0031148A" w:rsidRPr="00C35603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>Днем получения предварительн</w:t>
      </w:r>
      <w:r w:rsidR="006C51DE" w:rsidRPr="00C35603">
        <w:t>ого</w:t>
      </w:r>
      <w:r w:rsidRPr="00C35603">
        <w:t xml:space="preserve"> отчет</w:t>
      </w:r>
      <w:r w:rsidR="006C51DE" w:rsidRPr="00C35603">
        <w:t>а</w:t>
      </w:r>
      <w:r w:rsidRPr="00C35603">
        <w:t xml:space="preserve"> считается день </w:t>
      </w:r>
      <w:r w:rsidR="006C51DE" w:rsidRPr="00C35603">
        <w:t>его</w:t>
      </w:r>
      <w:r w:rsidRPr="00C35603">
        <w:t xml:space="preserve"> регистрации в управлении экономического развития</w:t>
      </w:r>
      <w:r w:rsidR="00FB27F8" w:rsidRPr="00C35603">
        <w:t xml:space="preserve"> администрации Города Томска</w:t>
      </w:r>
      <w:r w:rsidRPr="00C35603">
        <w:t xml:space="preserve"> и департаменте финансов </w:t>
      </w:r>
      <w:r w:rsidR="00FB27F8" w:rsidRPr="00C35603">
        <w:t xml:space="preserve">администрации Города Томска </w:t>
      </w:r>
      <w:r w:rsidRPr="00C35603">
        <w:t>соответственно.</w:t>
      </w:r>
    </w:p>
    <w:p w:rsidR="0031148A" w:rsidRPr="00C35603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</w:t>
      </w:r>
      <w:r w:rsidR="003A37BF" w:rsidRPr="00C35603">
        <w:t xml:space="preserve">администрации Города Томска </w:t>
      </w:r>
      <w:r w:rsidRPr="00C35603">
        <w:t>устраняе</w:t>
      </w:r>
      <w:r w:rsidR="0031148A" w:rsidRPr="00C35603">
        <w:t xml:space="preserve">т замечания управления экономического развития </w:t>
      </w:r>
      <w:r w:rsidR="003A37BF" w:rsidRPr="00C35603">
        <w:t xml:space="preserve">администрации Города Томска </w:t>
      </w:r>
      <w:r w:rsidR="0031148A" w:rsidRPr="00C35603">
        <w:t>и департамента финансов</w:t>
      </w:r>
      <w:r w:rsidR="003A37BF" w:rsidRPr="00C35603">
        <w:t xml:space="preserve"> администрации Города Томска</w:t>
      </w:r>
      <w:r w:rsidR="0031148A" w:rsidRPr="00C35603">
        <w:t>, утвержда</w:t>
      </w:r>
      <w:r w:rsidRPr="00C35603">
        <w:t>е</w:t>
      </w:r>
      <w:r w:rsidR="0031148A" w:rsidRPr="00C35603">
        <w:t>т итоговы</w:t>
      </w:r>
      <w:r w:rsidRPr="00C35603">
        <w:t>й</w:t>
      </w:r>
      <w:r w:rsidR="0031148A" w:rsidRPr="00C35603">
        <w:t xml:space="preserve"> отчет </w:t>
      </w:r>
      <w:r w:rsidR="003A37BF" w:rsidRPr="00C35603">
        <w:t>муниципальным правовым актом руководителя</w:t>
      </w:r>
      <w:r w:rsidRPr="00C35603">
        <w:t xml:space="preserve"> департамента городского хозяйства</w:t>
      </w:r>
      <w:r w:rsidR="00395438" w:rsidRPr="00C35603">
        <w:t xml:space="preserve"> </w:t>
      </w:r>
      <w:r w:rsidR="00395438" w:rsidRPr="00C35603">
        <w:rPr>
          <w:color w:val="000000"/>
        </w:rPr>
        <w:t>администрации Города Томска</w:t>
      </w:r>
      <w:r w:rsidR="0031148A" w:rsidRPr="00C35603">
        <w:t xml:space="preserve"> и представля</w:t>
      </w:r>
      <w:r w:rsidRPr="00C35603">
        <w:t>е</w:t>
      </w:r>
      <w:r w:rsidR="0031148A" w:rsidRPr="00C35603">
        <w:t>т в управление экономического развития</w:t>
      </w:r>
      <w:r w:rsidR="003A37BF" w:rsidRPr="00C35603">
        <w:t xml:space="preserve"> администрации Города Томска</w:t>
      </w:r>
      <w:r w:rsidR="0031148A" w:rsidRPr="00C35603">
        <w:t>, департамент финансов</w:t>
      </w:r>
      <w:r w:rsidR="00B333F2" w:rsidRPr="00C35603">
        <w:t xml:space="preserve"> администрации Города Томска</w:t>
      </w:r>
      <w:r w:rsidR="0031148A" w:rsidRPr="00C35603">
        <w:t xml:space="preserve"> и в Счетную палату Города Томска в срок до 10 марта года, следующего за отчетным, в бумажном, а также в электронном виде.</w:t>
      </w:r>
    </w:p>
    <w:p w:rsidR="00650414" w:rsidRPr="00C35603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>В соответствии с п</w:t>
      </w:r>
      <w:r w:rsidR="00E04E64" w:rsidRPr="00C35603">
        <w:t>унктом</w:t>
      </w:r>
      <w:r w:rsidRPr="00C35603">
        <w:t xml:space="preserve"> 7.8 П</w:t>
      </w:r>
      <w:r w:rsidR="00650414" w:rsidRPr="00C35603">
        <w:t xml:space="preserve">орядка принятия решений о разработке муниципальных программ </w:t>
      </w:r>
      <w:r w:rsidR="00B104F5" w:rsidRPr="00C35603">
        <w:t>муниципального образования</w:t>
      </w:r>
      <w:r w:rsidR="00650414" w:rsidRPr="00C35603">
        <w:t xml:space="preserve"> «Город Томск», их формирования, реализации, </w:t>
      </w:r>
      <w:r w:rsidR="00C70913" w:rsidRPr="00C35603">
        <w:t xml:space="preserve">корректировки, </w:t>
      </w:r>
      <w:r w:rsidR="00650414" w:rsidRPr="00C35603">
        <w:t xml:space="preserve">мониторинга и контроля, утвержденного постановлением администрации Города Томска от 15.07.2014 № 677 </w:t>
      </w:r>
      <w:r w:rsidR="00D55B9D" w:rsidRPr="00C35603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C35603">
        <w:t xml:space="preserve">», </w:t>
      </w:r>
      <w:r w:rsidR="00B333F2" w:rsidRPr="00C35603">
        <w:t>у</w:t>
      </w:r>
      <w:r w:rsidR="00DD0580" w:rsidRPr="00C35603">
        <w:t xml:space="preserve">правление экономического развития </w:t>
      </w:r>
      <w:r w:rsidR="00B333F2" w:rsidRPr="00C35603">
        <w:t xml:space="preserve">администрации Города Томска </w:t>
      </w:r>
      <w:r w:rsidR="00DD0580" w:rsidRPr="00C35603">
        <w:t xml:space="preserve">проводит оценку эффективности реализации </w:t>
      </w:r>
      <w:r w:rsidR="0061554C" w:rsidRPr="00C35603">
        <w:t>Программы</w:t>
      </w:r>
      <w:r w:rsidR="00DD0580" w:rsidRPr="00C35603">
        <w:t xml:space="preserve"> в соответствии с порядком, утвержденным муниципальным правовым актом администрации Города Томска.</w:t>
      </w:r>
    </w:p>
    <w:p w:rsidR="00443861" w:rsidRPr="00C35603" w:rsidRDefault="00443861" w:rsidP="00733A68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При расчете фактических значений показателя «Повышение удовлетворённости жителей оказанными услугами электро-, тепло-, газо-, водоснабжения и водоотведения (количество </w:t>
      </w:r>
      <w:r w:rsidR="00FC4235" w:rsidRPr="00C35603">
        <w:t>жалоб,</w:t>
      </w:r>
      <w:r w:rsidRPr="00C35603">
        <w:t xml:space="preserve"> ед.)» учитывается количество жалоб на качество коммунальных услуг, </w:t>
      </w:r>
      <w:r w:rsidR="00733A68">
        <w:t>д</w:t>
      </w:r>
      <w:r w:rsidR="00733A68" w:rsidRPr="00733A68">
        <w:t xml:space="preserve">анные предоставляются </w:t>
      </w:r>
      <w:proofErr w:type="spellStart"/>
      <w:r w:rsidR="00733A68" w:rsidRPr="00733A68">
        <w:t>ресурсоснабж</w:t>
      </w:r>
      <w:r w:rsidR="00733A68">
        <w:t>а</w:t>
      </w:r>
      <w:r w:rsidR="00733A68" w:rsidRPr="00733A68">
        <w:t>ющими</w:t>
      </w:r>
      <w:proofErr w:type="spellEnd"/>
      <w:r w:rsidR="00733A68" w:rsidRPr="00733A68">
        <w:t xml:space="preserve"> организациями</w:t>
      </w:r>
      <w:r w:rsidRPr="00C35603">
        <w:t>.</w:t>
      </w:r>
    </w:p>
    <w:p w:rsidR="00650414" w:rsidRPr="00C35603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lastRenderedPageBreak/>
        <w:t xml:space="preserve">При внесении изменений в подпрограммы, затрагивающие содержание </w:t>
      </w:r>
      <w:r w:rsidR="0061554C" w:rsidRPr="00C35603">
        <w:t>П</w:t>
      </w:r>
      <w:r w:rsidRPr="00C35603">
        <w:t xml:space="preserve">рограммы в целом, ответственный исполнитель подпрограммы формирует проект внесения изменений в </w:t>
      </w:r>
      <w:r w:rsidR="0061554C" w:rsidRPr="00C35603">
        <w:t>П</w:t>
      </w:r>
      <w:r w:rsidRPr="00C35603">
        <w:t>рограмму и подпрограммы.</w:t>
      </w:r>
    </w:p>
    <w:p w:rsidR="00650414" w:rsidRPr="00C35603" w:rsidRDefault="00650414" w:rsidP="00650414">
      <w:pPr>
        <w:suppressAutoHyphens/>
        <w:adjustRightInd w:val="0"/>
        <w:ind w:firstLine="851"/>
        <w:jc w:val="both"/>
      </w:pPr>
      <w:r w:rsidRPr="00C35603">
        <w:t>Реализация Программы освещается в средствах массовой информации.</w:t>
      </w:r>
    </w:p>
    <w:p w:rsidR="002A6D7F" w:rsidRPr="00C35603" w:rsidRDefault="002A6D7F" w:rsidP="002A6D7F">
      <w:pPr>
        <w:ind w:left="720"/>
        <w:jc w:val="center"/>
        <w:rPr>
          <w:b/>
          <w:color w:val="000000"/>
        </w:rPr>
      </w:pPr>
    </w:p>
    <w:p w:rsidR="00650414" w:rsidRPr="00C35603" w:rsidRDefault="000D7852" w:rsidP="00650414">
      <w:pPr>
        <w:numPr>
          <w:ilvl w:val="0"/>
          <w:numId w:val="1"/>
        </w:numPr>
        <w:jc w:val="center"/>
      </w:pPr>
      <w:r w:rsidRPr="00C35603">
        <w:t>ПОДПРОГРАММЫ</w:t>
      </w:r>
    </w:p>
    <w:p w:rsidR="00650414" w:rsidRPr="00C35603" w:rsidRDefault="00650414" w:rsidP="00650414">
      <w:pPr>
        <w:tabs>
          <w:tab w:val="left" w:pos="1134"/>
        </w:tabs>
        <w:ind w:left="1800"/>
      </w:pPr>
    </w:p>
    <w:p w:rsidR="00650414" w:rsidRPr="00C35603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C35603">
        <w:t>Подпрограмма</w:t>
      </w:r>
      <w:r w:rsidRPr="00C35603">
        <w:rPr>
          <w:b/>
        </w:rPr>
        <w:t xml:space="preserve"> «Содержание инженерной инфраструктуры»</w:t>
      </w:r>
      <w:r w:rsidRPr="00C35603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C35603">
        <w:t>ресурсоснабжающим</w:t>
      </w:r>
      <w:proofErr w:type="spellEnd"/>
      <w:r w:rsidRPr="00C35603">
        <w:t xml:space="preserve"> организациям. Мероприятиями программы предусматривается выделение денежных средств на паспортизацию бесхозяйных объектов инже</w:t>
      </w:r>
      <w:r w:rsidR="00271E2C" w:rsidRPr="00C35603">
        <w:t>нерно-технического обеспечения муниципального образования</w:t>
      </w:r>
      <w:r w:rsidRPr="00C35603">
        <w:t xml:space="preserve"> «Город Томск» и подготовку инженерной инфраструктуры к работе в отопительный период.</w:t>
      </w:r>
    </w:p>
    <w:p w:rsidR="00650414" w:rsidRPr="00C35603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C35603">
        <w:t>Подпрограмм</w:t>
      </w:r>
      <w:r w:rsidRPr="00C35603">
        <w:rPr>
          <w:b/>
        </w:rPr>
        <w:t>а «Организация и обеспечение эффективного исполнения функций»</w:t>
      </w:r>
      <w:r w:rsidRPr="00C35603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</w:t>
      </w:r>
      <w:r w:rsidR="00395438" w:rsidRPr="00C35603">
        <w:t xml:space="preserve"> </w:t>
      </w:r>
      <w:r w:rsidR="00395438" w:rsidRPr="00C35603">
        <w:rPr>
          <w:color w:val="000000"/>
        </w:rPr>
        <w:t>администрации Города Томска</w:t>
      </w:r>
      <w:r w:rsidRPr="00C35603">
        <w:t xml:space="preserve">. </w:t>
      </w:r>
    </w:p>
    <w:p w:rsidR="00650414" w:rsidRPr="00C35603" w:rsidRDefault="00650414" w:rsidP="00650414">
      <w:pPr>
        <w:tabs>
          <w:tab w:val="left" w:pos="1134"/>
        </w:tabs>
        <w:ind w:firstLine="857"/>
        <w:jc w:val="both"/>
      </w:pPr>
      <w:r w:rsidRPr="00C35603">
        <w:t>3.</w:t>
      </w:r>
      <w:r w:rsidRPr="00C35603">
        <w:tab/>
        <w:t>Подпрограмма</w:t>
      </w:r>
      <w:r w:rsidRPr="00C35603">
        <w:rPr>
          <w:b/>
        </w:rPr>
        <w:t xml:space="preserve"> «Развитие инженерной инфраструктуры»</w:t>
      </w:r>
      <w:r w:rsidRPr="00C35603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C35603">
        <w:t xml:space="preserve">муниципального образования «Город Томск» </w:t>
      </w:r>
      <w:r w:rsidRPr="00C35603">
        <w:t xml:space="preserve">к сетям централизованного тепло- и электроснабжения. </w:t>
      </w:r>
    </w:p>
    <w:p w:rsidR="00650414" w:rsidRPr="00C35603" w:rsidRDefault="00650414" w:rsidP="00650414">
      <w:pPr>
        <w:ind w:firstLine="851"/>
        <w:jc w:val="both"/>
      </w:pPr>
      <w:r w:rsidRPr="00C35603">
        <w:t xml:space="preserve">4. Целью подпрограммы </w:t>
      </w:r>
      <w:r w:rsidRPr="00C35603">
        <w:rPr>
          <w:b/>
        </w:rPr>
        <w:t>«Газификация Томска»</w:t>
      </w:r>
      <w:r w:rsidRPr="00C35603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C35603">
        <w:t xml:space="preserve">5. Подпрограмма </w:t>
      </w:r>
      <w:r w:rsidRPr="00C35603">
        <w:rPr>
          <w:b/>
        </w:rPr>
        <w:t>«Инженерная защита территорий»</w:t>
      </w:r>
      <w:r w:rsidRPr="00C35603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2D4B"/>
    <w:multiLevelType w:val="hybridMultilevel"/>
    <w:tmpl w:val="C54A4A42"/>
    <w:lvl w:ilvl="0" w:tplc="135AA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AE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A0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4C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07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61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0ED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2B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D4A96"/>
    <w:multiLevelType w:val="hybridMultilevel"/>
    <w:tmpl w:val="6602E7AA"/>
    <w:lvl w:ilvl="0" w:tplc="F5A8F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E8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3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1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08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45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EB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7" w15:restartNumberingAfterBreak="0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607790"/>
    <w:multiLevelType w:val="hybridMultilevel"/>
    <w:tmpl w:val="C8948450"/>
    <w:lvl w:ilvl="0" w:tplc="67161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B97683"/>
    <w:multiLevelType w:val="hybridMultilevel"/>
    <w:tmpl w:val="6ED8E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14"/>
    <w:rsid w:val="00012E62"/>
    <w:rsid w:val="00037CBC"/>
    <w:rsid w:val="00041609"/>
    <w:rsid w:val="0004547E"/>
    <w:rsid w:val="000B2C91"/>
    <w:rsid w:val="000B4652"/>
    <w:rsid w:val="000C7D22"/>
    <w:rsid w:val="000D2524"/>
    <w:rsid w:val="000D741E"/>
    <w:rsid w:val="000D7852"/>
    <w:rsid w:val="000F7F0A"/>
    <w:rsid w:val="00111AB4"/>
    <w:rsid w:val="00126721"/>
    <w:rsid w:val="00130906"/>
    <w:rsid w:val="001475D5"/>
    <w:rsid w:val="00150DEA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25474"/>
    <w:rsid w:val="002316CF"/>
    <w:rsid w:val="002427CD"/>
    <w:rsid w:val="00254782"/>
    <w:rsid w:val="0026355B"/>
    <w:rsid w:val="00271E2C"/>
    <w:rsid w:val="002A33F7"/>
    <w:rsid w:val="002A6CEA"/>
    <w:rsid w:val="002A6D7F"/>
    <w:rsid w:val="002B58BD"/>
    <w:rsid w:val="002E1D9B"/>
    <w:rsid w:val="002F2229"/>
    <w:rsid w:val="0031148A"/>
    <w:rsid w:val="003201CF"/>
    <w:rsid w:val="00333A9B"/>
    <w:rsid w:val="00342CDE"/>
    <w:rsid w:val="00351B38"/>
    <w:rsid w:val="00353BAA"/>
    <w:rsid w:val="00356313"/>
    <w:rsid w:val="003564C0"/>
    <w:rsid w:val="0035736E"/>
    <w:rsid w:val="003843E2"/>
    <w:rsid w:val="00395438"/>
    <w:rsid w:val="003A37BF"/>
    <w:rsid w:val="003A58CB"/>
    <w:rsid w:val="003D7052"/>
    <w:rsid w:val="003E0962"/>
    <w:rsid w:val="0041172F"/>
    <w:rsid w:val="00420921"/>
    <w:rsid w:val="0043278E"/>
    <w:rsid w:val="004377C3"/>
    <w:rsid w:val="00443861"/>
    <w:rsid w:val="00446CE3"/>
    <w:rsid w:val="00461B86"/>
    <w:rsid w:val="00475999"/>
    <w:rsid w:val="0047677C"/>
    <w:rsid w:val="0048355B"/>
    <w:rsid w:val="0049054F"/>
    <w:rsid w:val="004A71E3"/>
    <w:rsid w:val="004C4C12"/>
    <w:rsid w:val="004D0355"/>
    <w:rsid w:val="004F20B1"/>
    <w:rsid w:val="004F5C1F"/>
    <w:rsid w:val="00506024"/>
    <w:rsid w:val="00510C72"/>
    <w:rsid w:val="005202C2"/>
    <w:rsid w:val="00574CE2"/>
    <w:rsid w:val="00574E2D"/>
    <w:rsid w:val="00595C63"/>
    <w:rsid w:val="005F42E4"/>
    <w:rsid w:val="005F59A5"/>
    <w:rsid w:val="0061554C"/>
    <w:rsid w:val="0062008A"/>
    <w:rsid w:val="006479D7"/>
    <w:rsid w:val="00650414"/>
    <w:rsid w:val="00667EE4"/>
    <w:rsid w:val="00683231"/>
    <w:rsid w:val="006C51DE"/>
    <w:rsid w:val="006E28E3"/>
    <w:rsid w:val="006E49C4"/>
    <w:rsid w:val="006E54A9"/>
    <w:rsid w:val="006F2D50"/>
    <w:rsid w:val="006F37D6"/>
    <w:rsid w:val="00700571"/>
    <w:rsid w:val="00702512"/>
    <w:rsid w:val="00705F9E"/>
    <w:rsid w:val="0072033C"/>
    <w:rsid w:val="00725970"/>
    <w:rsid w:val="00733A68"/>
    <w:rsid w:val="00757FCD"/>
    <w:rsid w:val="007779D0"/>
    <w:rsid w:val="0078240F"/>
    <w:rsid w:val="007856D8"/>
    <w:rsid w:val="007B01E8"/>
    <w:rsid w:val="007B1A9B"/>
    <w:rsid w:val="007C3206"/>
    <w:rsid w:val="00805EAE"/>
    <w:rsid w:val="008252F6"/>
    <w:rsid w:val="008357AC"/>
    <w:rsid w:val="00851FDB"/>
    <w:rsid w:val="008561A8"/>
    <w:rsid w:val="00861C3F"/>
    <w:rsid w:val="00864D1D"/>
    <w:rsid w:val="008A2884"/>
    <w:rsid w:val="008A5867"/>
    <w:rsid w:val="008A5D7A"/>
    <w:rsid w:val="008C0074"/>
    <w:rsid w:val="008E259D"/>
    <w:rsid w:val="008E51A2"/>
    <w:rsid w:val="008E70AA"/>
    <w:rsid w:val="008F72E2"/>
    <w:rsid w:val="0090311B"/>
    <w:rsid w:val="00921D6E"/>
    <w:rsid w:val="009233D1"/>
    <w:rsid w:val="009319C2"/>
    <w:rsid w:val="00945F74"/>
    <w:rsid w:val="00974D0A"/>
    <w:rsid w:val="00985F34"/>
    <w:rsid w:val="009911D8"/>
    <w:rsid w:val="009A09C9"/>
    <w:rsid w:val="009A3F30"/>
    <w:rsid w:val="009A7082"/>
    <w:rsid w:val="009B59DE"/>
    <w:rsid w:val="009B64D1"/>
    <w:rsid w:val="009B652C"/>
    <w:rsid w:val="009C702F"/>
    <w:rsid w:val="009D0E76"/>
    <w:rsid w:val="009D3659"/>
    <w:rsid w:val="009D7454"/>
    <w:rsid w:val="009E2FD3"/>
    <w:rsid w:val="009E66D7"/>
    <w:rsid w:val="009F04BF"/>
    <w:rsid w:val="009F1DA8"/>
    <w:rsid w:val="00A07995"/>
    <w:rsid w:val="00A131E0"/>
    <w:rsid w:val="00A2391A"/>
    <w:rsid w:val="00A36149"/>
    <w:rsid w:val="00A449AD"/>
    <w:rsid w:val="00A631E0"/>
    <w:rsid w:val="00A863C4"/>
    <w:rsid w:val="00A93654"/>
    <w:rsid w:val="00A978BE"/>
    <w:rsid w:val="00AA067D"/>
    <w:rsid w:val="00AB59C2"/>
    <w:rsid w:val="00AE4B56"/>
    <w:rsid w:val="00AE5B60"/>
    <w:rsid w:val="00AE693D"/>
    <w:rsid w:val="00AF64B1"/>
    <w:rsid w:val="00B03074"/>
    <w:rsid w:val="00B104F5"/>
    <w:rsid w:val="00B24840"/>
    <w:rsid w:val="00B273F8"/>
    <w:rsid w:val="00B333F2"/>
    <w:rsid w:val="00B44884"/>
    <w:rsid w:val="00B46D2E"/>
    <w:rsid w:val="00B634E9"/>
    <w:rsid w:val="00B73163"/>
    <w:rsid w:val="00B77E56"/>
    <w:rsid w:val="00BA7C81"/>
    <w:rsid w:val="00BD2FBB"/>
    <w:rsid w:val="00BE00DF"/>
    <w:rsid w:val="00BE2481"/>
    <w:rsid w:val="00C0126F"/>
    <w:rsid w:val="00C0611C"/>
    <w:rsid w:val="00C17290"/>
    <w:rsid w:val="00C27E28"/>
    <w:rsid w:val="00C30BED"/>
    <w:rsid w:val="00C35603"/>
    <w:rsid w:val="00C5065A"/>
    <w:rsid w:val="00C70913"/>
    <w:rsid w:val="00C74FA9"/>
    <w:rsid w:val="00C82322"/>
    <w:rsid w:val="00C85416"/>
    <w:rsid w:val="00C87473"/>
    <w:rsid w:val="00C96A6F"/>
    <w:rsid w:val="00CB1415"/>
    <w:rsid w:val="00CC5528"/>
    <w:rsid w:val="00D01083"/>
    <w:rsid w:val="00D05EAD"/>
    <w:rsid w:val="00D27F2C"/>
    <w:rsid w:val="00D34461"/>
    <w:rsid w:val="00D40F83"/>
    <w:rsid w:val="00D47CAE"/>
    <w:rsid w:val="00D55B9D"/>
    <w:rsid w:val="00D70F76"/>
    <w:rsid w:val="00D7467F"/>
    <w:rsid w:val="00D74F6A"/>
    <w:rsid w:val="00DA0A75"/>
    <w:rsid w:val="00DC0602"/>
    <w:rsid w:val="00DC4C20"/>
    <w:rsid w:val="00DD0580"/>
    <w:rsid w:val="00DE4720"/>
    <w:rsid w:val="00DF49E8"/>
    <w:rsid w:val="00DF4D96"/>
    <w:rsid w:val="00E04E64"/>
    <w:rsid w:val="00E25479"/>
    <w:rsid w:val="00E411C3"/>
    <w:rsid w:val="00E52557"/>
    <w:rsid w:val="00E75FC5"/>
    <w:rsid w:val="00E85A42"/>
    <w:rsid w:val="00E9504E"/>
    <w:rsid w:val="00EA6025"/>
    <w:rsid w:val="00EB31D3"/>
    <w:rsid w:val="00EB42CE"/>
    <w:rsid w:val="00EB6C58"/>
    <w:rsid w:val="00EC44F0"/>
    <w:rsid w:val="00ED34FB"/>
    <w:rsid w:val="00EE3F51"/>
    <w:rsid w:val="00F02E97"/>
    <w:rsid w:val="00F06A25"/>
    <w:rsid w:val="00F27334"/>
    <w:rsid w:val="00F27D00"/>
    <w:rsid w:val="00F3094E"/>
    <w:rsid w:val="00F40778"/>
    <w:rsid w:val="00F4366C"/>
    <w:rsid w:val="00F50262"/>
    <w:rsid w:val="00F559D7"/>
    <w:rsid w:val="00F916F2"/>
    <w:rsid w:val="00FA104E"/>
    <w:rsid w:val="00FB08DB"/>
    <w:rsid w:val="00FB27F8"/>
    <w:rsid w:val="00FB4D1F"/>
    <w:rsid w:val="00FC4235"/>
    <w:rsid w:val="00FD4AE1"/>
    <w:rsid w:val="00FE26C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61741E6"/>
  <w15:docId w15:val="{32AB881F-F40A-46E3-A646-CA38F8D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_Обычный Знак"/>
    <w:link w:val="a8"/>
    <w:locked/>
    <w:rsid w:val="000C7D22"/>
    <w:rPr>
      <w:rFonts w:ascii="Arial" w:eastAsia="Calibri" w:hAnsi="Arial" w:cs="Times New Roman"/>
      <w:sz w:val="24"/>
      <w:szCs w:val="26"/>
    </w:rPr>
  </w:style>
  <w:style w:type="paragraph" w:customStyle="1" w:styleId="a8">
    <w:name w:val="_Обычный"/>
    <w:basedOn w:val="a3"/>
    <w:link w:val="a7"/>
    <w:qFormat/>
    <w:rsid w:val="000C7D22"/>
    <w:pPr>
      <w:spacing w:after="200" w:line="360" w:lineRule="auto"/>
      <w:ind w:left="0" w:firstLine="709"/>
      <w:jc w:val="both"/>
    </w:pPr>
    <w:rPr>
      <w:rFonts w:ascii="Arial" w:eastAsia="Calibri" w:hAnsi="Arial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27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10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5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00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1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60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3305-AE7B-4D35-9BFE-A8593553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37</cp:revision>
  <cp:lastPrinted>2021-02-25T04:29:00Z</cp:lastPrinted>
  <dcterms:created xsi:type="dcterms:W3CDTF">2023-07-21T02:59:00Z</dcterms:created>
  <dcterms:modified xsi:type="dcterms:W3CDTF">2023-08-31T08:19:00Z</dcterms:modified>
</cp:coreProperties>
</file>