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2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2268"/>
        <w:gridCol w:w="1842"/>
        <w:gridCol w:w="709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850"/>
        <w:gridCol w:w="851"/>
      </w:tblGrid>
      <w:tr w:rsidR="00D14F36" w:rsidRPr="00D14F36" w:rsidTr="00EC476E">
        <w:trPr>
          <w:trHeight w:val="330"/>
        </w:trPr>
        <w:tc>
          <w:tcPr>
            <w:tcW w:w="222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3139" w:rsidRPr="00D14F36" w:rsidRDefault="00793139" w:rsidP="0079313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AA4F02"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постановлению администрации Города Томска</w:t>
            </w:r>
          </w:p>
          <w:p w:rsidR="00793139" w:rsidRPr="00D14F36" w:rsidRDefault="00793139" w:rsidP="0079313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от __________ № ____</w:t>
            </w:r>
          </w:p>
          <w:p w:rsidR="00CA1C93" w:rsidRPr="00D14F36" w:rsidRDefault="00CA1C93" w:rsidP="00B30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</w:t>
            </w:r>
            <w:r w:rsidR="00B301E1"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B301E1"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="00AA35F7"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</w:t>
            </w:r>
            <w:r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14F36" w:rsidRPr="00D14F36" w:rsidTr="00EC476E">
        <w:trPr>
          <w:trHeight w:val="300"/>
        </w:trPr>
        <w:tc>
          <w:tcPr>
            <w:tcW w:w="22256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CA1C93" w:rsidRPr="00D14F36" w:rsidRDefault="00CA1C93" w:rsidP="00355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Таблица 2</w:t>
            </w:r>
          </w:p>
        </w:tc>
      </w:tr>
      <w:tr w:rsidR="00853DCE" w:rsidRPr="00D14F36" w:rsidTr="00EC476E">
        <w:trPr>
          <w:trHeight w:val="1840"/>
        </w:trPr>
        <w:tc>
          <w:tcPr>
            <w:tcW w:w="568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DCE">
              <w:rPr>
                <w:rFonts w:ascii="Times New Roman" w:hAnsi="Times New Roman" w:cs="Times New Roman"/>
                <w:sz w:val="20"/>
                <w:szCs w:val="20"/>
              </w:rPr>
              <w:t>Цель, задачи и мероприятия муниципальной программы</w:t>
            </w:r>
          </w:p>
        </w:tc>
        <w:tc>
          <w:tcPr>
            <w:tcW w:w="2268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842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709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276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3750" w:type="dxa"/>
            <w:gridSpan w:val="14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853DCE" w:rsidRPr="00D14F36" w:rsidTr="00EC476E">
        <w:trPr>
          <w:trHeight w:val="300"/>
        </w:trPr>
        <w:tc>
          <w:tcPr>
            <w:tcW w:w="568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5" w:type="dxa"/>
            <w:gridSpan w:val="2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4" w:type="dxa"/>
            <w:gridSpan w:val="2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85" w:type="dxa"/>
            <w:gridSpan w:val="2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4" w:type="dxa"/>
            <w:gridSpan w:val="2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127" w:type="dxa"/>
            <w:gridSpan w:val="2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701" w:type="dxa"/>
            <w:gridSpan w:val="2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53DCE" w:rsidRPr="00D14F36" w:rsidTr="00EC476E">
        <w:trPr>
          <w:trHeight w:val="2145"/>
        </w:trPr>
        <w:tc>
          <w:tcPr>
            <w:tcW w:w="568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851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853DCE" w:rsidRPr="00D14F36" w:rsidTr="00EC476E">
        <w:trPr>
          <w:trHeight w:val="284"/>
        </w:trPr>
        <w:tc>
          <w:tcPr>
            <w:tcW w:w="5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3DCE" w:rsidRPr="00D14F36" w:rsidTr="00EC476E">
        <w:trPr>
          <w:trHeight w:val="1273"/>
        </w:trPr>
        <w:tc>
          <w:tcPr>
            <w:tcW w:w="568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842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709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Департамент  управления муниципальной собственностью администрации Города Томска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AB"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20,26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21,97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22,97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21,83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28,39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26,68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37,24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2465C8" w:rsidRDefault="00853DCE" w:rsidP="00853DCE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34,38</w:t>
            </w:r>
          </w:p>
        </w:tc>
      </w:tr>
      <w:tr w:rsidR="002465C8" w:rsidRPr="00D14F36" w:rsidTr="00EC476E">
        <w:trPr>
          <w:trHeight w:val="2055"/>
        </w:trPr>
        <w:tc>
          <w:tcPr>
            <w:tcW w:w="568" w:type="dxa"/>
            <w:vMerge/>
          </w:tcPr>
          <w:p w:rsidR="002465C8" w:rsidRPr="00D14F36" w:rsidRDefault="002465C8" w:rsidP="0024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65C8" w:rsidRPr="00D14F36" w:rsidRDefault="002465C8" w:rsidP="002465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465C8" w:rsidRPr="00D14F36" w:rsidRDefault="002465C8" w:rsidP="0024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842" w:type="dxa"/>
            <w:vMerge/>
          </w:tcPr>
          <w:p w:rsidR="002465C8" w:rsidRPr="00D14F36" w:rsidRDefault="002465C8" w:rsidP="0024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65C8" w:rsidRPr="00D14F36" w:rsidRDefault="002465C8" w:rsidP="0024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65C8" w:rsidRPr="00D14F36" w:rsidRDefault="002465C8" w:rsidP="0024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13,26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65C8" w:rsidRPr="002465C8" w:rsidRDefault="002465C8" w:rsidP="002465C8">
            <w:pPr>
              <w:rPr>
                <w:rFonts w:ascii="Times New Roman" w:hAnsi="Times New Roman" w:cs="Times New Roman"/>
              </w:rPr>
            </w:pPr>
            <w:r w:rsidRPr="002465C8">
              <w:rPr>
                <w:rFonts w:ascii="Times New Roman" w:hAnsi="Times New Roman" w:cs="Times New Roman"/>
              </w:rPr>
              <w:t>17,54</w:t>
            </w:r>
          </w:p>
        </w:tc>
      </w:tr>
      <w:tr w:rsidR="00D14F36" w:rsidRPr="00D14F36" w:rsidTr="00C339B6">
        <w:trPr>
          <w:trHeight w:val="565"/>
        </w:trPr>
        <w:tc>
          <w:tcPr>
            <w:tcW w:w="568" w:type="dxa"/>
            <w:vMerge/>
          </w:tcPr>
          <w:p w:rsidR="00B242B7" w:rsidRPr="00D14F36" w:rsidRDefault="00B242B7" w:rsidP="00B24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42B7" w:rsidRPr="00D14F36" w:rsidRDefault="00B242B7" w:rsidP="00B242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242B7" w:rsidRPr="00D14F36" w:rsidRDefault="00B242B7" w:rsidP="00B2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842" w:type="dxa"/>
            <w:vMerge/>
          </w:tcPr>
          <w:p w:rsidR="00B242B7" w:rsidRPr="00D14F36" w:rsidRDefault="00B242B7" w:rsidP="00B24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42B7" w:rsidRPr="00D14F36" w:rsidRDefault="00B242B7" w:rsidP="00B24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31,31</w:t>
            </w:r>
          </w:p>
        </w:tc>
      </w:tr>
      <w:tr w:rsidR="00D14F36" w:rsidRPr="00D14F36" w:rsidTr="00651B51">
        <w:trPr>
          <w:trHeight w:val="423"/>
        </w:trPr>
        <w:tc>
          <w:tcPr>
            <w:tcW w:w="568" w:type="dxa"/>
            <w:vMerge/>
          </w:tcPr>
          <w:p w:rsidR="00B242B7" w:rsidRPr="00D14F36" w:rsidRDefault="00B242B7" w:rsidP="00B24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42B7" w:rsidRPr="00D14F36" w:rsidRDefault="00B242B7" w:rsidP="00B242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242B7" w:rsidRPr="00D14F36" w:rsidRDefault="00B242B7" w:rsidP="00B2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842" w:type="dxa"/>
            <w:vMerge/>
          </w:tcPr>
          <w:p w:rsidR="00B242B7" w:rsidRPr="00D14F36" w:rsidRDefault="00B242B7" w:rsidP="00B24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42B7" w:rsidRPr="00D14F36" w:rsidRDefault="00B242B7" w:rsidP="00B24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2B7" w:rsidRPr="00D14F36" w:rsidRDefault="00B242B7" w:rsidP="00B2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</w:tr>
      <w:tr w:rsidR="00D14F36" w:rsidRPr="00D14F36" w:rsidTr="005C5D4C">
        <w:trPr>
          <w:trHeight w:val="1550"/>
        </w:trPr>
        <w:tc>
          <w:tcPr>
            <w:tcW w:w="568" w:type="dxa"/>
            <w:vMerge/>
          </w:tcPr>
          <w:p w:rsidR="007B680F" w:rsidRPr="00D14F36" w:rsidRDefault="007B680F" w:rsidP="007B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680F" w:rsidRPr="00D14F36" w:rsidRDefault="007B680F" w:rsidP="007B68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B680F" w:rsidRPr="00D14F36" w:rsidRDefault="007B680F" w:rsidP="007B6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842" w:type="dxa"/>
            <w:vMerge/>
          </w:tcPr>
          <w:p w:rsidR="007B680F" w:rsidRPr="00D14F36" w:rsidRDefault="007B680F" w:rsidP="007B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680F" w:rsidRPr="00D14F36" w:rsidRDefault="007B680F" w:rsidP="007B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80F" w:rsidRPr="00D14F36" w:rsidRDefault="007B680F" w:rsidP="007B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53DCE" w:rsidRPr="00D14F36" w:rsidTr="00EC476E">
        <w:trPr>
          <w:trHeight w:val="125"/>
        </w:trPr>
        <w:tc>
          <w:tcPr>
            <w:tcW w:w="5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842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709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Департамент  управления муниципальной собственностью администрации Города Томска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0,00</w:t>
            </w:r>
          </w:p>
        </w:tc>
      </w:tr>
      <w:tr w:rsidR="00853DCE" w:rsidRPr="00D14F36" w:rsidTr="00EC476E">
        <w:trPr>
          <w:trHeight w:val="834"/>
        </w:trPr>
        <w:tc>
          <w:tcPr>
            <w:tcW w:w="5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D14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</w:tr>
      <w:tr w:rsidR="00853DCE" w:rsidRPr="00D14F36" w:rsidTr="00EC476E">
        <w:trPr>
          <w:trHeight w:val="706"/>
        </w:trPr>
        <w:tc>
          <w:tcPr>
            <w:tcW w:w="568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D14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842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709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49</w:t>
            </w:r>
          </w:p>
        </w:tc>
      </w:tr>
      <w:tr w:rsidR="00853DCE" w:rsidRPr="00D14F36" w:rsidTr="00EC476E">
        <w:trPr>
          <w:trHeight w:val="564"/>
        </w:trPr>
        <w:tc>
          <w:tcPr>
            <w:tcW w:w="568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D14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46</w:t>
            </w:r>
          </w:p>
        </w:tc>
      </w:tr>
      <w:tr w:rsidR="00853DCE" w:rsidRPr="00D14F36" w:rsidTr="00EC476E">
        <w:trPr>
          <w:trHeight w:val="2100"/>
        </w:trPr>
        <w:tc>
          <w:tcPr>
            <w:tcW w:w="568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3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2.1.</w:t>
            </w: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многоквартирных домов, являющихся объектами историко-архитектурной ценности)</w:t>
            </w: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</w:tr>
      <w:tr w:rsidR="00853DCE" w:rsidRPr="00D14F36" w:rsidTr="00EC476E">
        <w:trPr>
          <w:trHeight w:val="1720"/>
        </w:trPr>
        <w:tc>
          <w:tcPr>
            <w:tcW w:w="568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0</w:t>
            </w:r>
          </w:p>
        </w:tc>
      </w:tr>
      <w:tr w:rsidR="00853DCE" w:rsidRPr="00D14F36" w:rsidTr="00EC476E">
        <w:trPr>
          <w:trHeight w:val="1720"/>
        </w:trPr>
        <w:tc>
          <w:tcPr>
            <w:tcW w:w="568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1112B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</w:t>
            </w:r>
            <w:r w:rsidR="001112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95</w:t>
            </w:r>
          </w:p>
        </w:tc>
      </w:tr>
      <w:tr w:rsidR="00853DCE" w:rsidRPr="00D14F36" w:rsidTr="00EC476E">
        <w:trPr>
          <w:trHeight w:val="1540"/>
        </w:trPr>
        <w:tc>
          <w:tcPr>
            <w:tcW w:w="568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3" w:type="dxa"/>
            <w:vMerge w:val="restart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2.2. </w:t>
            </w: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представляющих историко-архитектурную ценность, охваченных ремонтом - ед.</w:t>
            </w: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53DCE" w:rsidRPr="00D14F36" w:rsidTr="00EC476E">
        <w:trPr>
          <w:trHeight w:val="558"/>
        </w:trPr>
        <w:tc>
          <w:tcPr>
            <w:tcW w:w="568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53DCE" w:rsidRPr="00D14F36" w:rsidTr="00EC476E">
        <w:trPr>
          <w:trHeight w:val="558"/>
        </w:trPr>
        <w:tc>
          <w:tcPr>
            <w:tcW w:w="568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</w:rPr>
            </w:pPr>
            <w:r w:rsidRPr="00D14F36">
              <w:rPr>
                <w:rFonts w:ascii="Times New Roman" w:hAnsi="Times New Roman" w:cs="Times New Roman"/>
              </w:rPr>
              <w:t>124</w:t>
            </w:r>
          </w:p>
        </w:tc>
      </w:tr>
      <w:tr w:rsidR="00853DCE" w:rsidRPr="00D14F36" w:rsidTr="00EC476E">
        <w:trPr>
          <w:trHeight w:val="1557"/>
        </w:trPr>
        <w:tc>
          <w:tcPr>
            <w:tcW w:w="5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843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2.3. </w:t>
            </w: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охваченных мероприятием по обеспечению сохранности - ед. &lt;4</w:t>
            </w:r>
            <w:r w:rsidRPr="00D14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842" w:type="dxa"/>
            <w:vMerge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3DCE" w:rsidRPr="00D14F36" w:rsidTr="00EC476E">
        <w:trPr>
          <w:trHeight w:val="2494"/>
        </w:trPr>
        <w:tc>
          <w:tcPr>
            <w:tcW w:w="5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843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2.4.</w:t>
            </w: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проектов, получивших поддержку в рамках муниципальной программы «Сохранение исторического наследия» (нарастающим итогом) </w:t>
            </w:r>
          </w:p>
        </w:tc>
        <w:tc>
          <w:tcPr>
            <w:tcW w:w="184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709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Департамент  управления</w:t>
            </w:r>
            <w:proofErr w:type="gramEnd"/>
            <w:r w:rsidRPr="00D14F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собственностью администрации Города Томска </w:t>
            </w:r>
          </w:p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993" w:type="dxa"/>
          </w:tcPr>
          <w:p w:rsidR="00853DCE" w:rsidRPr="00D14F36" w:rsidRDefault="00853DCE" w:rsidP="0085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53DCE" w:rsidRPr="00D14F36" w:rsidRDefault="00853DCE" w:rsidP="0085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53DCE" w:rsidRPr="00D14F36" w:rsidRDefault="00853DCE" w:rsidP="0085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53DCE" w:rsidRPr="00D14F36" w:rsidRDefault="00853DCE" w:rsidP="0085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53DCE" w:rsidRPr="00D14F36" w:rsidRDefault="00853DCE" w:rsidP="0085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53DCE" w:rsidRPr="00D14F36" w:rsidRDefault="00853DCE" w:rsidP="0085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53DCE" w:rsidRPr="00D14F36" w:rsidRDefault="00853DCE" w:rsidP="0085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53DCE" w:rsidRPr="00D14F36" w:rsidRDefault="00853DCE" w:rsidP="0085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CA1C93" w:rsidRPr="00D14F36" w:rsidRDefault="00CA1C93" w:rsidP="00A95C6A">
      <w:pPr>
        <w:ind w:firstLine="708"/>
        <w:jc w:val="both"/>
        <w:rPr>
          <w:rFonts w:ascii="Times New Roman" w:hAnsi="Times New Roman" w:cs="Times New Roman"/>
        </w:rPr>
      </w:pPr>
    </w:p>
    <w:p w:rsidR="00CA1C93" w:rsidRPr="00D14F36" w:rsidRDefault="00CA1C93" w:rsidP="00A95C6A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&lt;1&gt; - подсчет обследованных объектов культурного наследия осуществляется в соответствии с приложени</w:t>
      </w:r>
      <w:r w:rsidR="00F16BCB" w:rsidRPr="00D14F36">
        <w:rPr>
          <w:rFonts w:ascii="Times New Roman" w:hAnsi="Times New Roman" w:cs="Times New Roman"/>
        </w:rPr>
        <w:t>ем 2</w:t>
      </w:r>
      <w:r w:rsidRPr="00D14F36">
        <w:rPr>
          <w:rFonts w:ascii="Times New Roman" w:hAnsi="Times New Roman" w:cs="Times New Roman"/>
        </w:rPr>
        <w:t xml:space="preserve"> настоящей Муниципальной программы.</w:t>
      </w:r>
    </w:p>
    <w:p w:rsidR="00CA1C93" w:rsidRPr="00D14F36" w:rsidRDefault="00CA1C93" w:rsidP="00A95C6A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</w:t>
      </w:r>
      <w:r w:rsidR="008F63A2" w:rsidRPr="00D14F36">
        <w:rPr>
          <w:rFonts w:ascii="Times New Roman" w:hAnsi="Times New Roman" w:cs="Times New Roman"/>
        </w:rPr>
        <w:t xml:space="preserve"> соответствии с приложениями 3 и</w:t>
      </w:r>
      <w:r w:rsidRPr="00D14F36">
        <w:rPr>
          <w:rFonts w:ascii="Times New Roman" w:hAnsi="Times New Roman" w:cs="Times New Roman"/>
        </w:rPr>
        <w:t xml:space="preserve"> 4 настоящей муниципальной программы.</w:t>
      </w:r>
    </w:p>
    <w:p w:rsidR="00CA1C93" w:rsidRPr="00D14F36" w:rsidRDefault="00CA1C93" w:rsidP="00A95C6A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</w:t>
      </w:r>
      <w:r w:rsidR="008F63A2" w:rsidRPr="00D14F36">
        <w:rPr>
          <w:rFonts w:ascii="Times New Roman" w:hAnsi="Times New Roman" w:cs="Times New Roman"/>
        </w:rPr>
        <w:t xml:space="preserve">ответствии с приложениями 3 и </w:t>
      </w:r>
      <w:r w:rsidRPr="00D14F36">
        <w:rPr>
          <w:rFonts w:ascii="Times New Roman" w:hAnsi="Times New Roman" w:cs="Times New Roman"/>
        </w:rPr>
        <w:t xml:space="preserve">4 </w:t>
      </w:r>
      <w:r w:rsidR="008F63A2" w:rsidRPr="00D14F36">
        <w:rPr>
          <w:rFonts w:ascii="Times New Roman" w:hAnsi="Times New Roman" w:cs="Times New Roman"/>
        </w:rPr>
        <w:t xml:space="preserve">к </w:t>
      </w:r>
      <w:r w:rsidRPr="00D14F36">
        <w:rPr>
          <w:rFonts w:ascii="Times New Roman" w:hAnsi="Times New Roman" w:cs="Times New Roman"/>
        </w:rPr>
        <w:t>настоящей муниципальной программы.</w:t>
      </w:r>
    </w:p>
    <w:p w:rsidR="00CA1C93" w:rsidRPr="00D14F36" w:rsidRDefault="008F63A2" w:rsidP="008F63A2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&lt;4&gt; - подсчёт объектов, охваченных мероприятием по обеспечению сохранности в рамках реализации муниципальной программы «Сохранение исторического наследия» осуществляется в соответствии с приложением 5 к настоящей муниципальной программы.</w:t>
      </w:r>
    </w:p>
    <w:p w:rsidR="00CA1C93" w:rsidRPr="00D14F36" w:rsidRDefault="00CA1C93" w:rsidP="003551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Расчет значения показателя «Доля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CA1C93" w:rsidRPr="00D14F36" w:rsidRDefault="00DC05AB" w:rsidP="003551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дз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ДЗ</m:t>
              </m:r>
            </m:den>
          </m:f>
        </m:oMath>
      </m:oMathPara>
    </w:p>
    <w:p w:rsidR="00CA1C93" w:rsidRPr="00D14F36" w:rsidRDefault="00DC05AB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ДЗ</m:t>
            </m:r>
          </m:e>
          <m:sub>
            <m:r>
              <w:rPr>
                <w:rFonts w:ascii="Cambria Math" w:hAnsi="Cambria Math" w:cs="Times New Roman"/>
              </w:rPr>
              <m:t>2023</m:t>
            </m:r>
          </m:sub>
        </m:sSub>
      </m:oMath>
      <w:r w:rsidR="00CA1C93" w:rsidRPr="00D14F36">
        <w:rPr>
          <w:rFonts w:ascii="Times New Roman" w:hAnsi="Times New Roman" w:cs="Times New Roman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</w:t>
      </w:r>
      <w:r w:rsidR="00094B70" w:rsidRPr="00D14F36">
        <w:rPr>
          <w:rFonts w:ascii="Times New Roman" w:hAnsi="Times New Roman" w:cs="Times New Roman"/>
        </w:rPr>
        <w:t xml:space="preserve">33 </w:t>
      </w:r>
      <w:r w:rsidR="00CA1C93" w:rsidRPr="00D14F36">
        <w:rPr>
          <w:rFonts w:ascii="Times New Roman" w:hAnsi="Times New Roman" w:cs="Times New Roman"/>
        </w:rPr>
        <w:t>объектов);</w:t>
      </w:r>
    </w:p>
    <w:p w:rsidR="00CA1C93" w:rsidRPr="00D14F36" w:rsidRDefault="00DC05AB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ДЗ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</m:sSub>
      </m:oMath>
      <w:r w:rsidR="00CA1C93" w:rsidRPr="00D14F36">
        <w:rPr>
          <w:rFonts w:ascii="Times New Roman" w:hAnsi="Times New Roman" w:cs="Times New Roman"/>
        </w:rPr>
        <w:t xml:space="preserve"> – общее количество отремонтированных объектов деревянного зодчества за отчетный период;</w:t>
      </w:r>
    </w:p>
    <w:p w:rsidR="00CA1C93" w:rsidRPr="00D14F36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ДЗ – общее количество объектов деревянного зодчества на территории муниципального образования «Город Томск», на момент разработки муниципальной программы (701 объект).</w:t>
      </w:r>
    </w:p>
    <w:p w:rsidR="00CA1C93" w:rsidRPr="00D14F36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CA1C93" w:rsidRPr="00D14F36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Расчет значения показателя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CA1C93" w:rsidRPr="00D14F36" w:rsidRDefault="00DC05AB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дз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</w:rPr>
                <m:t>ДЗ</m:t>
              </m:r>
            </m:den>
          </m:f>
        </m:oMath>
      </m:oMathPara>
    </w:p>
    <w:p w:rsidR="00CA1C93" w:rsidRPr="00D14F36" w:rsidRDefault="00DC05AB" w:rsidP="00355154">
      <w:pPr>
        <w:ind w:firstLine="708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ДЗ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  <w:r w:rsidR="00CA1C93" w:rsidRPr="00D14F36">
        <w:rPr>
          <w:rFonts w:ascii="Times New Roman" w:hAnsi="Times New Roman" w:cs="Times New Roman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CA1C93" w:rsidRPr="00D14F36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CA1C93" w:rsidRPr="00D14F36" w:rsidRDefault="00DC05AB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окн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ОКН</m:t>
              </m:r>
            </m:den>
          </m:f>
        </m:oMath>
      </m:oMathPara>
    </w:p>
    <w:p w:rsidR="00CA1C93" w:rsidRPr="00D14F36" w:rsidRDefault="00DC05AB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ОКН</m:t>
            </m:r>
          </m:e>
          <m:sub>
            <m:r>
              <w:rPr>
                <w:rFonts w:ascii="Cambria Math" w:hAnsi="Cambria Math" w:cs="Times New Roman"/>
              </w:rPr>
              <m:t>2018</m:t>
            </m:r>
          </m:sub>
        </m:sSub>
      </m:oMath>
      <w:r w:rsidR="00CA1C93" w:rsidRPr="00D14F36">
        <w:rPr>
          <w:rFonts w:ascii="Times New Roman" w:hAnsi="Times New Roman" w:cs="Times New Roman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</w:t>
      </w:r>
      <w:r w:rsidR="00094B70" w:rsidRPr="00D14F36">
        <w:rPr>
          <w:rFonts w:ascii="Times New Roman" w:hAnsi="Times New Roman" w:cs="Times New Roman"/>
        </w:rPr>
        <w:t>отки муниципальной программы (5</w:t>
      </w:r>
      <w:r w:rsidR="003C44EE" w:rsidRPr="00D14F36">
        <w:rPr>
          <w:rFonts w:ascii="Times New Roman" w:hAnsi="Times New Roman" w:cs="Times New Roman"/>
        </w:rPr>
        <w:t>6</w:t>
      </w:r>
      <w:r w:rsidR="00094B70" w:rsidRPr="00D14F36">
        <w:rPr>
          <w:rFonts w:ascii="Times New Roman" w:hAnsi="Times New Roman" w:cs="Times New Roman"/>
        </w:rPr>
        <w:t xml:space="preserve"> объектов</w:t>
      </w:r>
      <w:r w:rsidR="00CA1C93" w:rsidRPr="00D14F36">
        <w:rPr>
          <w:rFonts w:ascii="Times New Roman" w:hAnsi="Times New Roman" w:cs="Times New Roman"/>
        </w:rPr>
        <w:t>);</w:t>
      </w:r>
    </w:p>
    <w:p w:rsidR="00CA1C93" w:rsidRPr="00D14F36" w:rsidRDefault="00DC05AB" w:rsidP="00355154">
      <w:pPr>
        <w:ind w:firstLine="708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ОКН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</m:sSub>
      </m:oMath>
      <w:r w:rsidR="00CA1C93" w:rsidRPr="00D14F36">
        <w:rPr>
          <w:rFonts w:ascii="Times New Roman" w:hAnsi="Times New Roman" w:cs="Times New Roman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CA1C93" w:rsidRPr="00D14F36" w:rsidRDefault="00CA1C93" w:rsidP="00355154">
      <w:pPr>
        <w:ind w:firstLine="708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ОКН</m:t>
        </m:r>
      </m:oMath>
      <w:r w:rsidRPr="00D14F36">
        <w:rPr>
          <w:rFonts w:ascii="Times New Roman" w:hAnsi="Times New Roman" w:cs="Times New Roman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CA1C93" w:rsidRPr="00D14F36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CA1C93" w:rsidRPr="00D14F36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CA1C93" w:rsidRPr="00D14F36" w:rsidRDefault="00DC05AB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окн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2023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ОКН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</w:rPr>
                <m:t>ОКН</m:t>
              </m:r>
            </m:den>
          </m:f>
        </m:oMath>
      </m:oMathPara>
    </w:p>
    <w:p w:rsidR="00CA1C93" w:rsidRPr="00D14F36" w:rsidRDefault="00DC05AB" w:rsidP="00355154">
      <w:pPr>
        <w:ind w:firstLine="708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ОКН</m:t>
            </m:r>
          </m:e>
          <m:sub>
            <m:r>
              <w:rPr>
                <w:rFonts w:ascii="Cambria Math" w:hAnsi="Cambria Math" w:cs="Times New Roman"/>
              </w:rPr>
              <m:t>отчет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</m:oMath>
      <w:r w:rsidR="00CA1C93" w:rsidRPr="00D14F36">
        <w:rPr>
          <w:rFonts w:ascii="Times New Roman" w:hAnsi="Times New Roman" w:cs="Times New Roman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CA1C93" w:rsidRPr="00D14F36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Расчет значения показателя «Доля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%»:</w:t>
      </w:r>
    </w:p>
    <w:p w:rsidR="00CA1C93" w:rsidRPr="00D14F36" w:rsidRDefault="00DC05AB" w:rsidP="00355154">
      <w:pPr>
        <w:ind w:firstLine="708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Д</m:t>
              </m:r>
            </m:e>
            <m:sub>
              <m:r>
                <w:rPr>
                  <w:rFonts w:ascii="Cambria Math" w:hAnsi="Cambria Math" w:cs="Times New Roman"/>
                </w:rPr>
                <m:t>о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О</m:t>
              </m:r>
            </m:den>
          </m:f>
        </m:oMath>
      </m:oMathPara>
    </w:p>
    <w:p w:rsidR="00CA1C93" w:rsidRPr="00D14F36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D14F36">
        <w:rPr>
          <w:rFonts w:ascii="Times New Roman" w:hAnsi="Times New Roman" w:cs="Times New Roman"/>
        </w:rPr>
        <w:t>О</w:t>
      </w:r>
      <w:r w:rsidRPr="00D14F36">
        <w:rPr>
          <w:rFonts w:ascii="Times New Roman" w:hAnsi="Times New Roman" w:cs="Times New Roman"/>
          <w:vertAlign w:val="subscript"/>
        </w:rPr>
        <w:t>отчет</w:t>
      </w:r>
      <w:proofErr w:type="spellEnd"/>
      <w:r w:rsidRPr="00D14F36">
        <w:rPr>
          <w:rFonts w:ascii="Times New Roman" w:hAnsi="Times New Roman" w:cs="Times New Roman"/>
        </w:rPr>
        <w:t xml:space="preserve"> – общее количество обследованных объектов культурного наследия за отчетный период;</w:t>
      </w:r>
    </w:p>
    <w:p w:rsidR="00CA1C93" w:rsidRPr="00D14F36" w:rsidRDefault="00CA1C93" w:rsidP="00355154">
      <w:pPr>
        <w:ind w:firstLine="708"/>
        <w:jc w:val="both"/>
        <w:rPr>
          <w:rFonts w:ascii="Times New Roman" w:hAnsi="Times New Roman" w:cs="Times New Roman"/>
        </w:rPr>
      </w:pPr>
      <w:r w:rsidRPr="00D14F36">
        <w:rPr>
          <w:rFonts w:ascii="Times New Roman" w:hAnsi="Times New Roman" w:cs="Times New Roman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нуждающихся в обследовании (</w:t>
      </w:r>
      <w:r w:rsidR="00094B70" w:rsidRPr="00D14F36">
        <w:rPr>
          <w:rFonts w:ascii="Times New Roman" w:hAnsi="Times New Roman" w:cs="Times New Roman"/>
        </w:rPr>
        <w:t>60</w:t>
      </w:r>
      <w:r w:rsidRPr="00D14F36">
        <w:rPr>
          <w:rFonts w:ascii="Times New Roman" w:hAnsi="Times New Roman" w:cs="Times New Roman"/>
        </w:rPr>
        <w:t xml:space="preserve"> объекта).</w:t>
      </w:r>
    </w:p>
    <w:p w:rsidR="00F62B1F" w:rsidRPr="00D14F36" w:rsidRDefault="00F62B1F" w:rsidP="0035515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F62B1F" w:rsidRPr="00D14F36" w:rsidSect="00F167C0">
      <w:pgSz w:w="23808" w:h="16840" w:orient="landscape" w:code="8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81E3BCE"/>
    <w:multiLevelType w:val="hybridMultilevel"/>
    <w:tmpl w:val="664E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D7A"/>
    <w:multiLevelType w:val="hybridMultilevel"/>
    <w:tmpl w:val="CF384F96"/>
    <w:lvl w:ilvl="0" w:tplc="C17431A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0BD"/>
    <w:multiLevelType w:val="hybridMultilevel"/>
    <w:tmpl w:val="AD20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FF"/>
    <w:rsid w:val="0000687C"/>
    <w:rsid w:val="00024E39"/>
    <w:rsid w:val="00027282"/>
    <w:rsid w:val="00036A2C"/>
    <w:rsid w:val="0005252C"/>
    <w:rsid w:val="0005374E"/>
    <w:rsid w:val="000610AB"/>
    <w:rsid w:val="00073EDE"/>
    <w:rsid w:val="000876DA"/>
    <w:rsid w:val="00094B70"/>
    <w:rsid w:val="00096C39"/>
    <w:rsid w:val="000C5716"/>
    <w:rsid w:val="000D037C"/>
    <w:rsid w:val="0010464A"/>
    <w:rsid w:val="0010599A"/>
    <w:rsid w:val="001112BE"/>
    <w:rsid w:val="001227C7"/>
    <w:rsid w:val="00125067"/>
    <w:rsid w:val="0013245E"/>
    <w:rsid w:val="001473A1"/>
    <w:rsid w:val="00153C16"/>
    <w:rsid w:val="00165516"/>
    <w:rsid w:val="001677B9"/>
    <w:rsid w:val="0018100F"/>
    <w:rsid w:val="001E6625"/>
    <w:rsid w:val="001F1212"/>
    <w:rsid w:val="00220908"/>
    <w:rsid w:val="002465C8"/>
    <w:rsid w:val="002A2237"/>
    <w:rsid w:val="002B0072"/>
    <w:rsid w:val="002D31BE"/>
    <w:rsid w:val="002F1AF4"/>
    <w:rsid w:val="003363BE"/>
    <w:rsid w:val="003377F7"/>
    <w:rsid w:val="00337849"/>
    <w:rsid w:val="003437A2"/>
    <w:rsid w:val="00355154"/>
    <w:rsid w:val="00373C69"/>
    <w:rsid w:val="003859FC"/>
    <w:rsid w:val="003C338A"/>
    <w:rsid w:val="003C44EE"/>
    <w:rsid w:val="003D1E61"/>
    <w:rsid w:val="003D2496"/>
    <w:rsid w:val="003E4B00"/>
    <w:rsid w:val="003E699D"/>
    <w:rsid w:val="0040560D"/>
    <w:rsid w:val="004105EA"/>
    <w:rsid w:val="00423CBC"/>
    <w:rsid w:val="00425A4E"/>
    <w:rsid w:val="0043180F"/>
    <w:rsid w:val="00444FA8"/>
    <w:rsid w:val="00472A15"/>
    <w:rsid w:val="004808C1"/>
    <w:rsid w:val="004A060A"/>
    <w:rsid w:val="004B1A4D"/>
    <w:rsid w:val="004D43FD"/>
    <w:rsid w:val="004E2A20"/>
    <w:rsid w:val="004E6D11"/>
    <w:rsid w:val="004F44C4"/>
    <w:rsid w:val="005140F1"/>
    <w:rsid w:val="005218D7"/>
    <w:rsid w:val="005249C2"/>
    <w:rsid w:val="005435E4"/>
    <w:rsid w:val="00552590"/>
    <w:rsid w:val="00575F4A"/>
    <w:rsid w:val="005761AE"/>
    <w:rsid w:val="005A243C"/>
    <w:rsid w:val="005C0A02"/>
    <w:rsid w:val="005F395B"/>
    <w:rsid w:val="00610F69"/>
    <w:rsid w:val="006142D3"/>
    <w:rsid w:val="006204FA"/>
    <w:rsid w:val="0062109F"/>
    <w:rsid w:val="006320AD"/>
    <w:rsid w:val="00633693"/>
    <w:rsid w:val="006419F0"/>
    <w:rsid w:val="00650075"/>
    <w:rsid w:val="006557BA"/>
    <w:rsid w:val="00655EFF"/>
    <w:rsid w:val="006576BF"/>
    <w:rsid w:val="0066054F"/>
    <w:rsid w:val="006606BB"/>
    <w:rsid w:val="006658F8"/>
    <w:rsid w:val="00673C09"/>
    <w:rsid w:val="0067592C"/>
    <w:rsid w:val="00675E78"/>
    <w:rsid w:val="00683E03"/>
    <w:rsid w:val="0068574E"/>
    <w:rsid w:val="00696342"/>
    <w:rsid w:val="00696511"/>
    <w:rsid w:val="00696F33"/>
    <w:rsid w:val="006A40D8"/>
    <w:rsid w:val="006B11A5"/>
    <w:rsid w:val="006F4B65"/>
    <w:rsid w:val="00700A5F"/>
    <w:rsid w:val="00713603"/>
    <w:rsid w:val="00724071"/>
    <w:rsid w:val="00732AB5"/>
    <w:rsid w:val="00745EB7"/>
    <w:rsid w:val="00793139"/>
    <w:rsid w:val="007B680F"/>
    <w:rsid w:val="007B789C"/>
    <w:rsid w:val="007C55FB"/>
    <w:rsid w:val="007D32DA"/>
    <w:rsid w:val="007D48E0"/>
    <w:rsid w:val="00800131"/>
    <w:rsid w:val="008108D3"/>
    <w:rsid w:val="00812589"/>
    <w:rsid w:val="00821823"/>
    <w:rsid w:val="00852108"/>
    <w:rsid w:val="00853DCE"/>
    <w:rsid w:val="0085641E"/>
    <w:rsid w:val="00860CC9"/>
    <w:rsid w:val="008779C3"/>
    <w:rsid w:val="008B6B8D"/>
    <w:rsid w:val="008F2B81"/>
    <w:rsid w:val="008F4F49"/>
    <w:rsid w:val="008F63A2"/>
    <w:rsid w:val="00921E96"/>
    <w:rsid w:val="00942D9E"/>
    <w:rsid w:val="00951254"/>
    <w:rsid w:val="00967C9D"/>
    <w:rsid w:val="009708C9"/>
    <w:rsid w:val="009754F0"/>
    <w:rsid w:val="009A64AE"/>
    <w:rsid w:val="009A680E"/>
    <w:rsid w:val="009B0B6F"/>
    <w:rsid w:val="009C494E"/>
    <w:rsid w:val="00A05706"/>
    <w:rsid w:val="00A14504"/>
    <w:rsid w:val="00A30B92"/>
    <w:rsid w:val="00A31940"/>
    <w:rsid w:val="00A40968"/>
    <w:rsid w:val="00A4443B"/>
    <w:rsid w:val="00A6168F"/>
    <w:rsid w:val="00A63259"/>
    <w:rsid w:val="00A94950"/>
    <w:rsid w:val="00A95C6A"/>
    <w:rsid w:val="00A970D7"/>
    <w:rsid w:val="00AA0AEA"/>
    <w:rsid w:val="00AA35F7"/>
    <w:rsid w:val="00AA4F02"/>
    <w:rsid w:val="00AD1E35"/>
    <w:rsid w:val="00AD78B5"/>
    <w:rsid w:val="00AE1A0D"/>
    <w:rsid w:val="00AE22BC"/>
    <w:rsid w:val="00AF7334"/>
    <w:rsid w:val="00B242B7"/>
    <w:rsid w:val="00B301E1"/>
    <w:rsid w:val="00B324E8"/>
    <w:rsid w:val="00B40D8A"/>
    <w:rsid w:val="00B436B2"/>
    <w:rsid w:val="00B64B00"/>
    <w:rsid w:val="00B67E87"/>
    <w:rsid w:val="00B70094"/>
    <w:rsid w:val="00BA0633"/>
    <w:rsid w:val="00BB0CBF"/>
    <w:rsid w:val="00BB3484"/>
    <w:rsid w:val="00BB6FE8"/>
    <w:rsid w:val="00BC33D4"/>
    <w:rsid w:val="00BD6CC7"/>
    <w:rsid w:val="00BE5DF3"/>
    <w:rsid w:val="00C056FF"/>
    <w:rsid w:val="00C612F1"/>
    <w:rsid w:val="00C67C34"/>
    <w:rsid w:val="00C858C9"/>
    <w:rsid w:val="00C92BDC"/>
    <w:rsid w:val="00CA1C93"/>
    <w:rsid w:val="00CD2FCD"/>
    <w:rsid w:val="00CE7303"/>
    <w:rsid w:val="00CF2DAE"/>
    <w:rsid w:val="00CF7189"/>
    <w:rsid w:val="00D12F39"/>
    <w:rsid w:val="00D14F36"/>
    <w:rsid w:val="00D4009E"/>
    <w:rsid w:val="00D65F11"/>
    <w:rsid w:val="00D6608C"/>
    <w:rsid w:val="00D919F9"/>
    <w:rsid w:val="00DC05AB"/>
    <w:rsid w:val="00DC688F"/>
    <w:rsid w:val="00E01AAA"/>
    <w:rsid w:val="00E160B3"/>
    <w:rsid w:val="00E16220"/>
    <w:rsid w:val="00E20E7C"/>
    <w:rsid w:val="00E313A8"/>
    <w:rsid w:val="00E40B57"/>
    <w:rsid w:val="00E502F6"/>
    <w:rsid w:val="00E50474"/>
    <w:rsid w:val="00E80D80"/>
    <w:rsid w:val="00EA17BB"/>
    <w:rsid w:val="00EC476E"/>
    <w:rsid w:val="00EE0365"/>
    <w:rsid w:val="00F06D2C"/>
    <w:rsid w:val="00F167C0"/>
    <w:rsid w:val="00F167DB"/>
    <w:rsid w:val="00F16BCB"/>
    <w:rsid w:val="00F213CB"/>
    <w:rsid w:val="00F22AD4"/>
    <w:rsid w:val="00F27C41"/>
    <w:rsid w:val="00F31849"/>
    <w:rsid w:val="00F45083"/>
    <w:rsid w:val="00F53C27"/>
    <w:rsid w:val="00F62B1F"/>
    <w:rsid w:val="00F759E0"/>
    <w:rsid w:val="00F81025"/>
    <w:rsid w:val="00F86C4D"/>
    <w:rsid w:val="00FF2301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33737-359D-4CAA-B3DB-2BB365D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93"/>
  </w:style>
  <w:style w:type="paragraph" w:styleId="1">
    <w:name w:val="heading 1"/>
    <w:basedOn w:val="a"/>
    <w:next w:val="a"/>
    <w:link w:val="10"/>
    <w:uiPriority w:val="99"/>
    <w:qFormat/>
    <w:rsid w:val="00CA1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9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C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1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1C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5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5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5E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5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rsid w:val="00CA1C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A1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A1C9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CA1C93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CA1C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A1C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A1C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A1C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A1C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rsid w:val="00CA1C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rsid w:val="00CA1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rsid w:val="00CA1C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A1C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A1C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A1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A1C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CA1C9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CA1C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Times New Roman"/>
      <w:color w:val="FF0000"/>
      <w:lang w:eastAsia="ru-RU"/>
    </w:rPr>
  </w:style>
  <w:style w:type="paragraph" w:customStyle="1" w:styleId="xl39">
    <w:name w:val="xl39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40">
    <w:name w:val="xl40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CA1C9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CA1C9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CA1C9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3">
    <w:name w:val="xl53"/>
    <w:basedOn w:val="a"/>
    <w:uiPriority w:val="99"/>
    <w:rsid w:val="00CA1C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Calibri" w:eastAsia="Calibri" w:hAnsi="Calibri" w:cs="Times New Roman"/>
      <w:lang w:eastAsia="ru-RU"/>
    </w:rPr>
  </w:style>
  <w:style w:type="paragraph" w:customStyle="1" w:styleId="xl54">
    <w:name w:val="xl54"/>
    <w:basedOn w:val="a"/>
    <w:uiPriority w:val="99"/>
    <w:rsid w:val="00CA1C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CA1C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CA1C9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CA1C9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CA1C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CA1C9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CA1C9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CA1C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39"/>
    <w:rsid w:val="003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Михайловна</dc:creator>
  <cp:keywords/>
  <dc:description/>
  <cp:lastModifiedBy>Лисина Инна Юрьевна</cp:lastModifiedBy>
  <cp:revision>2</cp:revision>
  <cp:lastPrinted>2024-03-20T12:03:00Z</cp:lastPrinted>
  <dcterms:created xsi:type="dcterms:W3CDTF">2024-06-28T04:42:00Z</dcterms:created>
  <dcterms:modified xsi:type="dcterms:W3CDTF">2024-06-28T04:42:00Z</dcterms:modified>
</cp:coreProperties>
</file>