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47" w:rsidRPr="00576147" w:rsidRDefault="00576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1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от 31.10.2014 N 1132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576147">
        <w:rPr>
          <w:rFonts w:ascii="Times New Roman" w:hAnsi="Times New Roman" w:cs="Times New Roman"/>
          <w:sz w:val="24"/>
          <w:szCs w:val="24"/>
        </w:rPr>
        <w:t>ПРЕДЕЛЬНЫЕ (МАКСИМАЛЬНЫЕ) ЦЕНЫ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УСЛУГИ МУНИЦИПАЛЬНОГО БЮДЖЕТНОГО УЧРЕЖДЕНИЯ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 xml:space="preserve">"АДМИНИСТРАТИВНО-ХОЗЯЙСТВЕННОЕ УПРАВЛЕНИЕ" ПО </w:t>
      </w:r>
      <w:proofErr w:type="gramStart"/>
      <w:r w:rsidRPr="00576147">
        <w:rPr>
          <w:rFonts w:ascii="Times New Roman" w:hAnsi="Times New Roman" w:cs="Times New Roman"/>
          <w:sz w:val="24"/>
          <w:szCs w:val="24"/>
        </w:rPr>
        <w:t>ВРЕМЕННОМУ</w:t>
      </w:r>
      <w:proofErr w:type="gramEnd"/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РАЗМЕЩЕНИЮ АВТОТРАНСПОРТНЫХ СРЕДСТВ В ГАРАЖАХ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И НА ОТКРЫТОЙ ПЛОЩАДКЕ</w:t>
      </w:r>
    </w:p>
    <w:p w:rsidR="00576147" w:rsidRPr="00576147" w:rsidRDefault="005761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147" w:rsidRPr="00576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от 20.05.2015 </w:t>
            </w:r>
            <w:hyperlink r:id="rId5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, от 22.11.2017 </w:t>
            </w:r>
            <w:hyperlink r:id="rId6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1148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, от 11.11.2020 </w:t>
            </w:r>
            <w:hyperlink r:id="rId7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982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Таблица 1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1361"/>
        <w:gridCol w:w="1361"/>
      </w:tblGrid>
      <w:tr w:rsidR="00576147" w:rsidRPr="00576147">
        <w:tc>
          <w:tcPr>
            <w:tcW w:w="510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39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автотранспортных средств</w:t>
            </w:r>
          </w:p>
        </w:tc>
        <w:tc>
          <w:tcPr>
            <w:tcW w:w="2722" w:type="dxa"/>
            <w:gridSpan w:val="2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в гаражах (в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. НДС), руб.</w:t>
            </w:r>
          </w:p>
        </w:tc>
      </w:tr>
      <w:tr w:rsidR="00576147" w:rsidRPr="00576147">
        <w:tc>
          <w:tcPr>
            <w:tcW w:w="510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 летний период: с 1 мая по 30 сентября</w:t>
            </w:r>
          </w:p>
        </w:tc>
        <w:tc>
          <w:tcPr>
            <w:tcW w:w="136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 зимний период: с 1 октября по 30 апреля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 категория: легковые автомобили, разрешенная максимальная масса которых не превышает 3500 кг и число сидячих мест в которых, помимо сиденья водителя, не превышает восьми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6291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 категория: грузовые автомобили, разрешенная максимальная масса которых превышает 3500 кг и длиной менее 7 метров, а также транспортные средства, предназначенные для перевозки пассажиров, число сидячих мест в которых, помимо сиденья водителя, более восьми, но не превышает четырнадцати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3 категория: грузовые автомобили, разрешенная максимальная масса которых превышает 3500 кг и длиной от 7 до 9 метров включительно, а также транспортные средства, предназначенные для перевозки пассажиров, число сидячих мест в которых, </w:t>
            </w: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помимо сиденья водителя, более четырнадцати, но не превышает двадцати четырех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10667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 категория: транспортные средства длиной более 9 метров, а также транспортные средства, предназначенные для перевозки пассажиров, число сидячих мест в которых, помимо сидения водителя, более двадцати четырех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13129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3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Таблица 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020"/>
        <w:gridCol w:w="964"/>
      </w:tblGrid>
      <w:tr w:rsidR="00576147" w:rsidRPr="00576147">
        <w:tc>
          <w:tcPr>
            <w:tcW w:w="510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автотранспортных средств</w:t>
            </w:r>
          </w:p>
        </w:tc>
        <w:tc>
          <w:tcPr>
            <w:tcW w:w="1984" w:type="dxa"/>
            <w:gridSpan w:val="2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на открытой площадке (в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. НДС), руб.</w:t>
            </w:r>
          </w:p>
        </w:tc>
      </w:tr>
      <w:tr w:rsidR="00576147" w:rsidRPr="00576147">
        <w:tc>
          <w:tcPr>
            <w:tcW w:w="510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96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576147" w:rsidRPr="00576147">
        <w:tc>
          <w:tcPr>
            <w:tcW w:w="51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 категория: легковые автомобили, разрешенная максимальная масса которых не превышает 3500 кг и число сидячих мест в которых, помимо сиденья водителя, не превышает восьми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</w:tr>
      <w:tr w:rsidR="00576147" w:rsidRPr="00576147">
        <w:tc>
          <w:tcPr>
            <w:tcW w:w="51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 категория: грузовые автомобили, разрешенная максимальная масса которых превышает 3500 кг и длиной менее 7 метров, а также транспортные средства, предназначенные для перевозки пассажиров, число сидячих мест в которых, помимо сиденья водителя, более восьми, но не превышает четырнадцати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</w:tr>
      <w:tr w:rsidR="00576147" w:rsidRPr="00576147">
        <w:tc>
          <w:tcPr>
            <w:tcW w:w="51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 категория: грузовые автомобили, разрешенная максимальная масса которых превышает 3500 кг и длиной от 7 до 9 метров включительно, а также транспортные средства, предназначенные для перевозки пассажиров, число сидячих мест в которых, помимо сиденья водителя, более четырнадцати, но не превышает двадцати четырех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6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</w:tr>
      <w:tr w:rsidR="00576147" w:rsidRPr="00576147">
        <w:tc>
          <w:tcPr>
            <w:tcW w:w="51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 категория: транспортные средства длиной более 9 метров, а также транспортные средства, предназначенные для перевозки пассажиров, число сидячих мест в которых, помимо сидения водителя, более двадцати четырех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6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от 31.10.2014 N 1132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ПРЕДЕЛЬНЫЕ (МАКСИМАЛЬНЫЕ) ЦЕНЫ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УСЛУГИ МУНИЦИПАЛЬНОГО БЮДЖЕТНОГО УЧРЕЖДЕНИЯ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"АДМИНИСТРАТИВНО-ХОЗЯЙСТВЕННОЕ УПРАВЛЕНИЕ" ПО МОЙКЕ,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ЧИСТКЕ И УБОРКЕ ТРАНСПОРТНЫХ СРЕДСТВ</w:t>
      </w:r>
    </w:p>
    <w:p w:rsidR="00576147" w:rsidRPr="00576147" w:rsidRDefault="005761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147" w:rsidRPr="00576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от 22.11.2017 </w:t>
            </w:r>
            <w:hyperlink r:id="rId8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1148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, от 11.12.2018 </w:t>
            </w:r>
            <w:hyperlink r:id="rId9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1116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, от 07.09.2022 </w:t>
            </w:r>
            <w:hyperlink r:id="rId10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N 826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Таблица 1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76147" w:rsidRPr="00576147" w:rsidSect="00D9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304"/>
        <w:gridCol w:w="1134"/>
        <w:gridCol w:w="1020"/>
        <w:gridCol w:w="737"/>
        <w:gridCol w:w="794"/>
        <w:gridCol w:w="850"/>
        <w:gridCol w:w="737"/>
        <w:gridCol w:w="1304"/>
        <w:gridCol w:w="1191"/>
        <w:gridCol w:w="1134"/>
      </w:tblGrid>
      <w:tr w:rsidR="00576147" w:rsidRPr="00576147">
        <w:tc>
          <w:tcPr>
            <w:tcW w:w="510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1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58" w:type="dxa"/>
            <w:gridSpan w:val="3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(число сидячих мест не более 6)</w:t>
            </w:r>
          </w:p>
        </w:tc>
        <w:tc>
          <w:tcPr>
            <w:tcW w:w="3118" w:type="dxa"/>
            <w:gridSpan w:val="4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Микроавтобусы, автобусы (за исключением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ГАЗелей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Грузовые авто, КамАЗ + прицеп &lt;*&gt;</w:t>
            </w:r>
          </w:p>
        </w:tc>
        <w:tc>
          <w:tcPr>
            <w:tcW w:w="1191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Грузовые авто (от 3 до 5 тонн) &lt;**&gt;</w:t>
            </w:r>
          </w:p>
        </w:tc>
        <w:tc>
          <w:tcPr>
            <w:tcW w:w="1134" w:type="dxa"/>
            <w:vMerge w:val="restart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Фура, полуприцепы</w:t>
            </w:r>
          </w:p>
        </w:tc>
      </w:tr>
      <w:tr w:rsidR="00576147" w:rsidRPr="00576147">
        <w:tc>
          <w:tcPr>
            <w:tcW w:w="510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среднего класса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Паркетник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Внедорожник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 мест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15 - 34 мест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35 - 45 мест</w:t>
            </w:r>
          </w:p>
        </w:tc>
        <w:tc>
          <w:tcPr>
            <w:tcW w:w="1304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47" w:rsidRPr="00576147">
        <w:tc>
          <w:tcPr>
            <w:tcW w:w="510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gridSpan w:val="10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 (с учетом НДС)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"</w:t>
            </w: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Кузов-коврики</w:t>
            </w:r>
            <w:proofErr w:type="gram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"Комплекс"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"Комплекс-люкс"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Ополаскивание кузова и арок (без применения моющих средств)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Ополаскивание кузова и арок (с применением моющих средств)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Обработка резиновых уплотнителей силиконом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Антидождь</w:t>
            </w:r>
            <w:proofErr w:type="spellEnd"/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Антизапотеватель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хромированных элементов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Полировка автомобилей "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Суперблеск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Полировка передней панели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Полировка пластика в салоне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Промывка радиатора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Покрытие кузова воском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Чернение шин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Чистка багажного отделения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Уборка багажного отделения пылесосом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Чистка дисков (за единицу)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Уборка салона пылесосом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Уборка пола пылесосом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Удаление следов насекомых, почек, скотча, битумных пятен и др.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Влажная уборка передней панели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Влажная уборка салона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Кондиционирование кожи (за единицу изделия)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резиновых и чистка мягких ковриков (за единицу)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днища автомобиля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колесных арок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двигателя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рамы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Натирка всех стекол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Натирка лобового стекла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салона полностью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8090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сидений (за единицу)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багажного отделения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панели, двери (за единицу)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пола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потолка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147" w:rsidRPr="00576147">
        <w:tc>
          <w:tcPr>
            <w:tcW w:w="510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91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Химчистка ковриков (за единицу)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6147" w:rsidRPr="00576147" w:rsidRDefault="0057614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76147" w:rsidRPr="005761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&lt;*&gt; - Грузовые авто, КамАЗ + прицеп: КамАЗ 5321 (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тентованный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>), КамАЗ 6511 (самосвал), КамАЗ 4311 (лесовоз), КамАЗ 4514 (самосвал-колхозник зерновоз), КамАЗ 5633 (цистерна), КамАЗ 4325 (бортовой).</w:t>
      </w:r>
    </w:p>
    <w:p w:rsidR="00576147" w:rsidRPr="00576147" w:rsidRDefault="005761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 xml:space="preserve">&lt;**&gt; - Грузовые авто (от 3 до 5 тонн):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HD65 (4 тонны),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Canter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(3 тонны),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Mazda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Titan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(4,3 тонны),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HD78 (5 тонн),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Foton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BJ 1041 (5 тонн),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(3 тонны),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Elf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(3 тонны),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47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576147">
        <w:rPr>
          <w:rFonts w:ascii="Times New Roman" w:hAnsi="Times New Roman" w:cs="Times New Roman"/>
          <w:sz w:val="24"/>
          <w:szCs w:val="24"/>
        </w:rPr>
        <w:t xml:space="preserve"> (5 тонн).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Таблица 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85"/>
        <w:gridCol w:w="1644"/>
        <w:gridCol w:w="964"/>
        <w:gridCol w:w="1474"/>
        <w:gridCol w:w="904"/>
      </w:tblGrid>
      <w:tr w:rsidR="00576147" w:rsidRPr="00576147">
        <w:tc>
          <w:tcPr>
            <w:tcW w:w="394" w:type="dxa"/>
            <w:vMerge w:val="restart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длиной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до 5 м включительно</w:t>
            </w:r>
          </w:p>
        </w:tc>
        <w:tc>
          <w:tcPr>
            <w:tcW w:w="96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длиной свыше 5 м</w:t>
            </w:r>
          </w:p>
        </w:tc>
        <w:tc>
          <w:tcPr>
            <w:tcW w:w="147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Трактор &lt;*&gt;, Экскаватор, Погрузчик</w:t>
            </w:r>
          </w:p>
        </w:tc>
        <w:tc>
          <w:tcPr>
            <w:tcW w:w="90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576147" w:rsidRPr="00576147">
        <w:tc>
          <w:tcPr>
            <w:tcW w:w="394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 (с учетом НДС)</w:t>
            </w:r>
          </w:p>
        </w:tc>
      </w:tr>
      <w:tr w:rsidR="00576147" w:rsidRPr="00576147">
        <w:tc>
          <w:tcPr>
            <w:tcW w:w="394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Ополаскивание кузова и арок (без применения моющих средств)</w:t>
            </w:r>
          </w:p>
        </w:tc>
        <w:tc>
          <w:tcPr>
            <w:tcW w:w="164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6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0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</w:tr>
      <w:tr w:rsidR="00576147" w:rsidRPr="00576147">
        <w:tc>
          <w:tcPr>
            <w:tcW w:w="394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Ополаскивание кузова и арок (с применением моющих средств)</w:t>
            </w:r>
          </w:p>
        </w:tc>
        <w:tc>
          <w:tcPr>
            <w:tcW w:w="164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96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7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0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576147" w:rsidRPr="00576147">
        <w:tc>
          <w:tcPr>
            <w:tcW w:w="394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Мойка двигателя</w:t>
            </w:r>
          </w:p>
        </w:tc>
        <w:tc>
          <w:tcPr>
            <w:tcW w:w="164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96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04" w:type="dxa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6147" w:rsidRPr="00576147" w:rsidRDefault="005761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47">
        <w:rPr>
          <w:rFonts w:ascii="Times New Roman" w:hAnsi="Times New Roman" w:cs="Times New Roman"/>
          <w:sz w:val="24"/>
          <w:szCs w:val="24"/>
        </w:rPr>
        <w:t>&lt;*&gt; - Трактор - самодвижущаяся (гусеничная или колесная) машина, выполняющая сельскохозяйственные, дорожно-строительные, землеройные, транспортные работы.</w:t>
      </w:r>
      <w:proofErr w:type="gramEnd"/>
    </w:p>
    <w:p w:rsidR="00576147" w:rsidRPr="00576147" w:rsidRDefault="005761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&lt;**&gt; - Тягач - самоходная безрельсовая наземная транспортная машина, предназначенная для буксировки механических транспортных средств.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от 31.10.2014 N 1132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ПРЕДЕЛЬНЫЕ (МАКСИМАЛЬНЫЕ) ТАРИФЫ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УСЛУГИ МБУ "АДМИНИСТРАТИВНО-ХОЗЯЙСТВЕННОЕ УПРАВЛЕНИЕ"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ПО ПЕРЕВОЗКЕ ПАССАЖИРОВ АВТОМОБИЛЬНЫМ ТРАНСПОРТОМ</w:t>
      </w:r>
    </w:p>
    <w:p w:rsidR="00576147" w:rsidRPr="00576147" w:rsidRDefault="005761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76147" w:rsidRPr="00576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от 08.09.2021 N 768)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4082"/>
      </w:tblGrid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марки транспортного </w:t>
            </w: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услуги,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/час (с учетом </w:t>
            </w: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НДС) &lt;*&gt;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NF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H-1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Insignia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Mondeo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Kyron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Actyon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Epica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Vesta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GFL330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Vesta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GFL110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585,00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LADA 212140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Priora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LADA GRANTA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Teana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535,00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Patriot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ГАЗ-2705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ГАЗ-33023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ВАЗ-210740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ВАЗ-21140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ВА3-21310</w:t>
            </w:r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576147" w:rsidRPr="00576147">
        <w:tc>
          <w:tcPr>
            <w:tcW w:w="45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5" w:type="dxa"/>
            <w:vAlign w:val="center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Sandero</w:t>
            </w:r>
            <w:proofErr w:type="spellEnd"/>
          </w:p>
        </w:tc>
        <w:tc>
          <w:tcPr>
            <w:tcW w:w="4082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6147" w:rsidRPr="00576147" w:rsidRDefault="005761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&lt;*&gt; с учетом затрат на топливо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76147" w:rsidRPr="00576147" w:rsidRDefault="0057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от 31.10.2014 N 1132</w:t>
      </w: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2"/>
      <w:bookmarkEnd w:id="2"/>
      <w:r w:rsidRPr="00576147">
        <w:rPr>
          <w:rFonts w:ascii="Times New Roman" w:hAnsi="Times New Roman" w:cs="Times New Roman"/>
          <w:sz w:val="24"/>
          <w:szCs w:val="24"/>
        </w:rPr>
        <w:t>ПРЕДЕЛЬНЫЕ (МАКСИМАЛЬНЫЕ) ЦЕНЫ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УСЛУГИ МУНИЦИПАЛЬНОГО БЮДЖЕТНОГО УЧРЕЖДЕНИЯ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"АДМИНИСТРАТИВНО-ХОЗЯЙСТВЕННОЕ УПРАВЛЕНИЕ" ПО ПРОВЕДЕНИЮ</w:t>
      </w:r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147">
        <w:rPr>
          <w:rFonts w:ascii="Times New Roman" w:hAnsi="Times New Roman" w:cs="Times New Roman"/>
          <w:sz w:val="24"/>
          <w:szCs w:val="24"/>
        </w:rPr>
        <w:t>ОБЯЗАТЕЛЬНЫХ МЕДИЦИНСКИХ ОСМОТРОВ (ПРЕДРЕЙСОВЫХ,</w:t>
      </w:r>
      <w:proofErr w:type="gramEnd"/>
    </w:p>
    <w:p w:rsidR="00576147" w:rsidRPr="00576147" w:rsidRDefault="005761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147">
        <w:rPr>
          <w:rFonts w:ascii="Times New Roman" w:hAnsi="Times New Roman" w:cs="Times New Roman"/>
          <w:sz w:val="24"/>
          <w:szCs w:val="24"/>
        </w:rPr>
        <w:t>ПОСЛЕРЕЙСОВЫХ) ВОДИТЕЛЕЙ ТРАНСПОРТНЫХ СРЕДСТВ</w:t>
      </w:r>
      <w:proofErr w:type="gramEnd"/>
    </w:p>
    <w:p w:rsidR="00576147" w:rsidRPr="00576147" w:rsidRDefault="005761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76147" w:rsidRPr="00576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(введены </w:t>
            </w:r>
            <w:hyperlink r:id="rId12">
              <w:r w:rsidRPr="0057614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от 17.09.2019 N 823)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329"/>
        <w:gridCol w:w="3345"/>
      </w:tblGrid>
      <w:tr w:rsidR="00576147" w:rsidRPr="00576147">
        <w:tc>
          <w:tcPr>
            <w:tcW w:w="394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45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руб./осмотр (НДС не предусмотрен)</w:t>
            </w:r>
          </w:p>
        </w:tc>
      </w:tr>
      <w:tr w:rsidR="00576147" w:rsidRPr="00576147">
        <w:tc>
          <w:tcPr>
            <w:tcW w:w="394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576147" w:rsidRPr="00576147" w:rsidRDefault="00576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медицинских осмотров (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) водителей транспортных средств</w:t>
            </w:r>
          </w:p>
        </w:tc>
        <w:tc>
          <w:tcPr>
            <w:tcW w:w="3345" w:type="dxa"/>
            <w:vAlign w:val="center"/>
          </w:tcPr>
          <w:p w:rsidR="00576147" w:rsidRPr="00576147" w:rsidRDefault="00576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47" w:rsidRPr="00576147" w:rsidRDefault="0057614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403E1" w:rsidRPr="00576147" w:rsidRDefault="00E403E1">
      <w:pPr>
        <w:rPr>
          <w:rFonts w:ascii="Times New Roman" w:hAnsi="Times New Roman" w:cs="Times New Roman"/>
          <w:sz w:val="24"/>
          <w:szCs w:val="24"/>
        </w:rPr>
      </w:pPr>
    </w:p>
    <w:sectPr w:rsidR="00E403E1" w:rsidRPr="0057614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47"/>
    <w:rsid w:val="00576147"/>
    <w:rsid w:val="00A55C99"/>
    <w:rsid w:val="00E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24B463BEDAFED969827F295556E7DA971DC01F3571D366D02FDF6A05B2F97542D7DAA88553DC5571C45EDBEF1404FB9B76625892FCF28D0076D8CT5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24B463BEDAFED969827F295556E7DA971DC01F35612306003FDF6A05B2F97542D7DAA88553DC5571C45EFBDF1404FB9B76625892FCF28D0076D8CT5aCH" TargetMode="External"/><Relationship Id="rId12" Type="http://schemas.openxmlformats.org/officeDocument/2006/relationships/hyperlink" Target="consultantplus://offline/ref=C5124B463BEDAFED969827F295556E7DA971DC01F35111326006FDF6A05B2F97542D7DAA88553DC5571C45EFBCF1404FB9B76625892FCF28D0076D8CT5a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24B463BEDAFED969827F295556E7DA971DC01F3571D366D02FDF6A05B2F97542D7DAA88553DC5571C45EDBDF1404FB9B76625892FCF28D0076D8CT5aCH" TargetMode="External"/><Relationship Id="rId11" Type="http://schemas.openxmlformats.org/officeDocument/2006/relationships/hyperlink" Target="consultantplus://offline/ref=C5124B463BEDAFED969827F295556E7DA971DC01F3571035610FFDF6A05B2F97542D7DAA88553DC5571C45EFB2F1404FB9B76625892FCF28D0076D8CT5aCH" TargetMode="External"/><Relationship Id="rId5" Type="http://schemas.openxmlformats.org/officeDocument/2006/relationships/hyperlink" Target="consultantplus://offline/ref=C5124B463BEDAFED969827F295556E7DA971DC01FA5A1C356C0CA0FCA8022395532222BD8F1C31C4571C45EAB0AE455AA8EF6A209331C63FCC056FT8aCH" TargetMode="External"/><Relationship Id="rId10" Type="http://schemas.openxmlformats.org/officeDocument/2006/relationships/hyperlink" Target="consultantplus://offline/ref=C5124B463BEDAFED969827F295556E7DA971DC01F3541330690EFDF6A05B2F97542D7DAA88553DC5571C45EFBDF1404FB9B76625892FCF28D0076D8CT5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24B463BEDAFED969827F295556E7DA971DC01F35013396B03FDF6A05B2F97542D7DAA88553DC5571C45EFBDF1404FB9B76625892FCF28D0076D8CT5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2022-10-13T07:41:00Z</dcterms:created>
  <dcterms:modified xsi:type="dcterms:W3CDTF">2022-10-13T07:41:00Z</dcterms:modified>
</cp:coreProperties>
</file>