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A" w:rsidRPr="007A1A5A" w:rsidRDefault="007A1A5A">
      <w:pPr>
        <w:pStyle w:val="ConsPlusNormal"/>
        <w:jc w:val="right"/>
        <w:outlineLvl w:val="0"/>
        <w:rPr>
          <w:rFonts w:ascii="Times New Roman" w:hAnsi="Times New Roman" w:cs="Times New Roman"/>
        </w:rPr>
      </w:pPr>
      <w:bookmarkStart w:id="0" w:name="_GoBack"/>
      <w:bookmarkEnd w:id="0"/>
      <w:r w:rsidRPr="007A1A5A">
        <w:rPr>
          <w:rFonts w:ascii="Times New Roman" w:hAnsi="Times New Roman" w:cs="Times New Roman"/>
        </w:rPr>
        <w:t>Приложение</w:t>
      </w:r>
    </w:p>
    <w:p w:rsidR="007A1A5A" w:rsidRPr="007A1A5A" w:rsidRDefault="007A1A5A">
      <w:pPr>
        <w:pStyle w:val="ConsPlusNormal"/>
        <w:jc w:val="right"/>
        <w:rPr>
          <w:rFonts w:ascii="Times New Roman" w:hAnsi="Times New Roman" w:cs="Times New Roman"/>
        </w:rPr>
      </w:pPr>
      <w:r w:rsidRPr="007A1A5A">
        <w:rPr>
          <w:rFonts w:ascii="Times New Roman" w:hAnsi="Times New Roman" w:cs="Times New Roman"/>
        </w:rPr>
        <w:t>к постановлению</w:t>
      </w:r>
    </w:p>
    <w:p w:rsidR="007A1A5A" w:rsidRPr="007A1A5A" w:rsidRDefault="007A1A5A">
      <w:pPr>
        <w:pStyle w:val="ConsPlusNormal"/>
        <w:jc w:val="right"/>
        <w:rPr>
          <w:rFonts w:ascii="Times New Roman" w:hAnsi="Times New Roman" w:cs="Times New Roman"/>
        </w:rPr>
      </w:pPr>
      <w:r w:rsidRPr="007A1A5A">
        <w:rPr>
          <w:rFonts w:ascii="Times New Roman" w:hAnsi="Times New Roman" w:cs="Times New Roman"/>
        </w:rPr>
        <w:t>администрации Города Томска</w:t>
      </w:r>
    </w:p>
    <w:p w:rsidR="007A1A5A" w:rsidRPr="007A1A5A" w:rsidRDefault="007A1A5A">
      <w:pPr>
        <w:pStyle w:val="ConsPlusNormal"/>
        <w:jc w:val="right"/>
        <w:rPr>
          <w:rFonts w:ascii="Times New Roman" w:hAnsi="Times New Roman" w:cs="Times New Roman"/>
        </w:rPr>
      </w:pPr>
      <w:r w:rsidRPr="007A1A5A">
        <w:rPr>
          <w:rFonts w:ascii="Times New Roman" w:hAnsi="Times New Roman" w:cs="Times New Roman"/>
        </w:rPr>
        <w:t>от 29.05.2014 N 444</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Title"/>
        <w:jc w:val="center"/>
        <w:rPr>
          <w:rFonts w:ascii="Times New Roman" w:hAnsi="Times New Roman" w:cs="Times New Roman"/>
        </w:rPr>
      </w:pPr>
      <w:bookmarkStart w:id="1" w:name="P40"/>
      <w:bookmarkEnd w:id="1"/>
      <w:r w:rsidRPr="007A1A5A">
        <w:rPr>
          <w:rFonts w:ascii="Times New Roman" w:hAnsi="Times New Roman" w:cs="Times New Roman"/>
        </w:rPr>
        <w:t>ПОРЯДОК</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ПРИНЯТИЯ РЕШЕНИЙ О ПОДГОТОВКЕ И РЕАЛИЗАЦИИ БЮДЖЕТНЫХ</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ИНВЕСТИЦИЙ В ОБЪЕКТЫ КАПИТАЛЬНОГО СТРОИТЕЛЬСТВА</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МУНИЦИПАЛЬНОЙ СОБСТВЕННОСТИ МУНИЦИПАЛЬНОГО ОБРАЗОВАНИЯ</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 xml:space="preserve">"ГОРОД ТОМСК" ИЛИ В ПРИОБРЕТЕНИЕ ОБЪЕКТОВ </w:t>
      </w:r>
      <w:proofErr w:type="gramStart"/>
      <w:r w:rsidRPr="007A1A5A">
        <w:rPr>
          <w:rFonts w:ascii="Times New Roman" w:hAnsi="Times New Roman" w:cs="Times New Roman"/>
        </w:rPr>
        <w:t>НЕДВИЖИМОГО</w:t>
      </w:r>
      <w:proofErr w:type="gramEnd"/>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ИМУЩЕСТВА В МУНИЦИПАЛЬНУЮ СОБСТВЕННОСТЬ МУНИЦИПАЛЬНОГО</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ОБРАЗОВАНИЯ "ГОРОД ТОМСК" ЗА СЧЕТ СРЕДСТВ БЮДЖЕТА</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МУНИЦИПАЛЬНОГО ОБРАЗОВАНИЯ "ГОРОД ТОМСК" (ДАЛЕЕ - ПОРЯДОК)</w:t>
      </w:r>
    </w:p>
    <w:p w:rsidR="007A1A5A" w:rsidRPr="007A1A5A" w:rsidRDefault="007A1A5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A5A" w:rsidRPr="007A1A5A">
        <w:trPr>
          <w:jc w:val="center"/>
        </w:trPr>
        <w:tc>
          <w:tcPr>
            <w:tcW w:w="9294" w:type="dxa"/>
            <w:tcBorders>
              <w:top w:val="nil"/>
              <w:left w:val="single" w:sz="24" w:space="0" w:color="CED3F1"/>
              <w:bottom w:val="nil"/>
              <w:right w:val="single" w:sz="24" w:space="0" w:color="F4F3F8"/>
            </w:tcBorders>
            <w:shd w:val="clear" w:color="auto" w:fill="F4F3F8"/>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Список изменяющих документов</w:t>
            </w:r>
          </w:p>
          <w:p w:rsidR="007A1A5A" w:rsidRPr="007A1A5A" w:rsidRDefault="007A1A5A">
            <w:pPr>
              <w:pStyle w:val="ConsPlusNormal"/>
              <w:jc w:val="center"/>
              <w:rPr>
                <w:rFonts w:ascii="Times New Roman" w:hAnsi="Times New Roman" w:cs="Times New Roman"/>
              </w:rPr>
            </w:pPr>
            <w:proofErr w:type="gramStart"/>
            <w:r w:rsidRPr="007A1A5A">
              <w:rPr>
                <w:rFonts w:ascii="Times New Roman" w:hAnsi="Times New Roman" w:cs="Times New Roman"/>
              </w:rPr>
              <w:t>(в ред. постановлений администрации г. Томска</w:t>
            </w:r>
            <w:proofErr w:type="gramEnd"/>
          </w:p>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 xml:space="preserve">от 11.07.2016 </w:t>
            </w:r>
            <w:hyperlink r:id="rId5" w:history="1">
              <w:r w:rsidRPr="007A1A5A">
                <w:rPr>
                  <w:rFonts w:ascii="Times New Roman" w:hAnsi="Times New Roman" w:cs="Times New Roman"/>
                </w:rPr>
                <w:t>N 685</w:t>
              </w:r>
            </w:hyperlink>
            <w:r w:rsidRPr="007A1A5A">
              <w:rPr>
                <w:rFonts w:ascii="Times New Roman" w:hAnsi="Times New Roman" w:cs="Times New Roman"/>
              </w:rPr>
              <w:t xml:space="preserve">, от 27.10.2016 </w:t>
            </w:r>
            <w:hyperlink r:id="rId6" w:history="1">
              <w:r w:rsidRPr="007A1A5A">
                <w:rPr>
                  <w:rFonts w:ascii="Times New Roman" w:hAnsi="Times New Roman" w:cs="Times New Roman"/>
                </w:rPr>
                <w:t>N 1134</w:t>
              </w:r>
            </w:hyperlink>
            <w:r w:rsidRPr="007A1A5A">
              <w:rPr>
                <w:rFonts w:ascii="Times New Roman" w:hAnsi="Times New Roman" w:cs="Times New Roman"/>
              </w:rPr>
              <w:t xml:space="preserve">, от 13.06.2017 </w:t>
            </w:r>
            <w:hyperlink r:id="rId7" w:history="1">
              <w:r w:rsidRPr="007A1A5A">
                <w:rPr>
                  <w:rFonts w:ascii="Times New Roman" w:hAnsi="Times New Roman" w:cs="Times New Roman"/>
                </w:rPr>
                <w:t>N 465</w:t>
              </w:r>
            </w:hyperlink>
            <w:r w:rsidRPr="007A1A5A">
              <w:rPr>
                <w:rFonts w:ascii="Times New Roman" w:hAnsi="Times New Roman" w:cs="Times New Roman"/>
              </w:rPr>
              <w:t>,</w:t>
            </w:r>
          </w:p>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 xml:space="preserve">от 28.11.2018 </w:t>
            </w:r>
            <w:hyperlink r:id="rId8" w:history="1">
              <w:r w:rsidRPr="007A1A5A">
                <w:rPr>
                  <w:rFonts w:ascii="Times New Roman" w:hAnsi="Times New Roman" w:cs="Times New Roman"/>
                </w:rPr>
                <w:t>N 1078</w:t>
              </w:r>
            </w:hyperlink>
            <w:r w:rsidRPr="007A1A5A">
              <w:rPr>
                <w:rFonts w:ascii="Times New Roman" w:hAnsi="Times New Roman" w:cs="Times New Roman"/>
              </w:rPr>
              <w:t xml:space="preserve">, от 22.10.2020 </w:t>
            </w:r>
            <w:hyperlink r:id="rId9" w:history="1">
              <w:r w:rsidRPr="007A1A5A">
                <w:rPr>
                  <w:rFonts w:ascii="Times New Roman" w:hAnsi="Times New Roman" w:cs="Times New Roman"/>
                </w:rPr>
                <w:t>N 933</w:t>
              </w:r>
            </w:hyperlink>
            <w:r w:rsidRPr="007A1A5A">
              <w:rPr>
                <w:rFonts w:ascii="Times New Roman" w:hAnsi="Times New Roman" w:cs="Times New Roman"/>
              </w:rPr>
              <w:t>)</w:t>
            </w:r>
          </w:p>
        </w:tc>
      </w:tr>
    </w:tbl>
    <w:p w:rsidR="007A1A5A" w:rsidRPr="007A1A5A" w:rsidRDefault="007A1A5A">
      <w:pPr>
        <w:pStyle w:val="ConsPlusNormal"/>
        <w:jc w:val="both"/>
        <w:rPr>
          <w:rFonts w:ascii="Times New Roman" w:hAnsi="Times New Roman" w:cs="Times New Roman"/>
        </w:rPr>
      </w:pPr>
    </w:p>
    <w:p w:rsidR="007A1A5A" w:rsidRPr="007A1A5A" w:rsidRDefault="007A1A5A">
      <w:pPr>
        <w:pStyle w:val="ConsPlusTitle"/>
        <w:jc w:val="center"/>
        <w:outlineLvl w:val="1"/>
        <w:rPr>
          <w:rFonts w:ascii="Times New Roman" w:hAnsi="Times New Roman" w:cs="Times New Roman"/>
        </w:rPr>
      </w:pPr>
      <w:r w:rsidRPr="007A1A5A">
        <w:rPr>
          <w:rFonts w:ascii="Times New Roman" w:hAnsi="Times New Roman" w:cs="Times New Roman"/>
        </w:rPr>
        <w:t>I. ОСНОВНЫЕ ПОЛОЖЕНИЯ</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ind w:firstLine="540"/>
        <w:jc w:val="both"/>
        <w:rPr>
          <w:rFonts w:ascii="Times New Roman" w:hAnsi="Times New Roman" w:cs="Times New Roman"/>
        </w:rPr>
      </w:pPr>
      <w:r w:rsidRPr="007A1A5A">
        <w:rPr>
          <w:rFonts w:ascii="Times New Roman" w:hAnsi="Times New Roman" w:cs="Times New Roman"/>
        </w:rPr>
        <w:t xml:space="preserve">1. </w:t>
      </w:r>
      <w:proofErr w:type="gramStart"/>
      <w:r w:rsidRPr="007A1A5A">
        <w:rPr>
          <w:rFonts w:ascii="Times New Roman" w:hAnsi="Times New Roman" w:cs="Times New Roman"/>
        </w:rPr>
        <w:t>Настоящий Порядок устанавливает механизм принятия решений о подготовке и реализации бюджетных инвестиций (далее - инвестиции) в объекты капитального строительства муниципальной собственности муниципального образования "Город Томск" или в приобретение объектов недвижимого имущества в муниципальную собственность муниципального образования "Город Томск" за счет средств бюджета муниципального образования "Город Томск" (далее соответственно - объекты капитального строительства, объекты недвижимого имущества) в форме капитальных вложений в основные средства</w:t>
      </w:r>
      <w:proofErr w:type="gramEnd"/>
      <w:r w:rsidRPr="007A1A5A">
        <w:rPr>
          <w:rFonts w:ascii="Times New Roman" w:hAnsi="Times New Roman" w:cs="Times New Roman"/>
        </w:rPr>
        <w:t>, находящиеся (которые будут находиться) в собственности муниципального образования "Город Томск" (далее - решение).</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2. В целях настоящего Порядка применяются следующие понятия и термины:</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в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 том числе приобретение земельных участков под строительство, подготовку проектной документации</w:t>
      </w:r>
      <w:proofErr w:type="gramEnd"/>
      <w:r w:rsidRPr="007A1A5A">
        <w:rPr>
          <w:rFonts w:ascii="Times New Roman" w:hAnsi="Times New Roman" w:cs="Times New Roman"/>
        </w:rPr>
        <w:t xml:space="preserve"> и проведение инженерных изысканий, выполняемых для подготовки такой документации, проведение экспертизы и проверки достоверности определения сметной стоимости инвестиционного проекта в отношении объектов капитального строительства, а также определение главного распорядителя бюджетных средств, муниципального заказчика, застройщика (заказчика) в отношении объекта капитального строительства и (или) объекта недвижимого имущества;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10"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 том числе приобретение земельного участка под строительство, подготовку проектной документации и проведение инженерных изысканий для подготовки такой документации, проведение экспертизы и проверки достоверности определения сметной</w:t>
      </w:r>
      <w:proofErr w:type="gramEnd"/>
      <w:r w:rsidRPr="007A1A5A">
        <w:rPr>
          <w:rFonts w:ascii="Times New Roman" w:hAnsi="Times New Roman" w:cs="Times New Roman"/>
        </w:rPr>
        <w:t xml:space="preserve"> стоимости инвестиционного проекта в отношении объектов капитального строительства;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11"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 xml:space="preserve">переходящие объекты капитального строительства, в строительство, реконструкцию, в том </w:t>
      </w:r>
      <w:r w:rsidRPr="007A1A5A">
        <w:rPr>
          <w:rFonts w:ascii="Times New Roman" w:hAnsi="Times New Roman" w:cs="Times New Roman"/>
        </w:rPr>
        <w:lastRenderedPageBreak/>
        <w:t>числе с элементами реставрации, в техническое перевооружение которых необходимо осуществлять инвестиции (далее - переходящие объекты), - объекты, по которым у муниципального образования "Город Томск" имеются долгосрочные обязательства по заключенным контрактам, либо объекты, строительство (реконструкция) которых в соответствии с проектной документацией не завершено.</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(абзац введен </w:t>
      </w:r>
      <w:hyperlink r:id="rId12" w:history="1">
        <w:r w:rsidRPr="007A1A5A">
          <w:rPr>
            <w:rFonts w:ascii="Times New Roman" w:hAnsi="Times New Roman" w:cs="Times New Roman"/>
          </w:rPr>
          <w:t>постановлением</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3. Решение в отношении объектов капитального строительства и объектов недвижимого имущества принимается посредством принятия муниципального правового акта администрации Города Томска.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3 в ред. </w:t>
      </w:r>
      <w:hyperlink r:id="rId13"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22.10.2020 N 933)</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4. Разработка проекта муниципального правового акта осуществляется с учетом норм настоящего Порядка.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4 в ред. </w:t>
      </w:r>
      <w:hyperlink r:id="rId14"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22.10.2020 N 933)</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5. Инициатором подготовки проекта муниципального правового акта выступает главный распорядитель бюджетных средств, наделенный в установленном действующим законодательством порядке полномочиями в соответствующей сфере ведения (далее - главный распорядитель).</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5 в ред. </w:t>
      </w:r>
      <w:hyperlink r:id="rId15"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22.10.2020 N 933)</w:t>
      </w:r>
    </w:p>
    <w:p w:rsidR="007A1A5A" w:rsidRPr="007A1A5A" w:rsidRDefault="007A1A5A">
      <w:pPr>
        <w:pStyle w:val="ConsPlusNormal"/>
        <w:spacing w:before="220"/>
        <w:ind w:firstLine="540"/>
        <w:jc w:val="both"/>
        <w:rPr>
          <w:rFonts w:ascii="Times New Roman" w:hAnsi="Times New Roman" w:cs="Times New Roman"/>
        </w:rPr>
      </w:pPr>
      <w:bookmarkStart w:id="2" w:name="P69"/>
      <w:bookmarkEnd w:id="2"/>
      <w:r w:rsidRPr="007A1A5A">
        <w:rPr>
          <w:rFonts w:ascii="Times New Roman" w:hAnsi="Times New Roman" w:cs="Times New Roman"/>
        </w:rPr>
        <w:t xml:space="preserve">6.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70" w:history="1">
        <w:r w:rsidRPr="007A1A5A">
          <w:rPr>
            <w:rFonts w:ascii="Times New Roman" w:hAnsi="Times New Roman" w:cs="Times New Roman"/>
          </w:rPr>
          <w:t>абзаце втором</w:t>
        </w:r>
      </w:hyperlink>
      <w:r w:rsidRPr="007A1A5A">
        <w:rPr>
          <w:rFonts w:ascii="Times New Roman" w:hAnsi="Times New Roman" w:cs="Times New Roman"/>
        </w:rPr>
        <w:t xml:space="preserve"> настоящего пункта.</w:t>
      </w:r>
    </w:p>
    <w:p w:rsidR="007A1A5A" w:rsidRPr="007A1A5A" w:rsidRDefault="007A1A5A">
      <w:pPr>
        <w:pStyle w:val="ConsPlusNormal"/>
        <w:spacing w:before="220"/>
        <w:ind w:firstLine="540"/>
        <w:jc w:val="both"/>
        <w:rPr>
          <w:rFonts w:ascii="Times New Roman" w:hAnsi="Times New Roman" w:cs="Times New Roman"/>
        </w:rPr>
      </w:pPr>
      <w:bookmarkStart w:id="3" w:name="P70"/>
      <w:bookmarkEnd w:id="3"/>
      <w:proofErr w:type="gramStart"/>
      <w:r w:rsidRPr="007A1A5A">
        <w:rPr>
          <w:rFonts w:ascii="Times New Roman" w:hAnsi="Times New Roman" w:cs="Times New Roman"/>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69" w:history="1">
        <w:r w:rsidRPr="007A1A5A">
          <w:rPr>
            <w:rFonts w:ascii="Times New Roman" w:hAnsi="Times New Roman" w:cs="Times New Roman"/>
          </w:rPr>
          <w:t>абзаце первом</w:t>
        </w:r>
      </w:hyperlink>
      <w:r w:rsidRPr="007A1A5A">
        <w:rPr>
          <w:rFonts w:ascii="Times New Roman" w:hAnsi="Times New Roman" w:cs="Times New Roman"/>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6" w:history="1">
        <w:r w:rsidRPr="007A1A5A">
          <w:rPr>
            <w:rFonts w:ascii="Times New Roman" w:hAnsi="Times New Roman" w:cs="Times New Roman"/>
          </w:rPr>
          <w:t>статьей 78.2</w:t>
        </w:r>
      </w:hyperlink>
      <w:r w:rsidRPr="007A1A5A">
        <w:rPr>
          <w:rFonts w:ascii="Times New Roman" w:hAnsi="Times New Roman" w:cs="Times New Roman"/>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w:t>
      </w:r>
      <w:proofErr w:type="gramEnd"/>
      <w:r w:rsidRPr="007A1A5A">
        <w:rPr>
          <w:rFonts w:ascii="Times New Roman" w:hAnsi="Times New Roman" w:cs="Times New Roman"/>
        </w:rPr>
        <w:t xml:space="preserve">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6 в ред. </w:t>
      </w:r>
      <w:hyperlink r:id="rId17"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11.07.2016 N 685)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 xml:space="preserve">7. </w:t>
      </w:r>
      <w:proofErr w:type="gramStart"/>
      <w:r w:rsidRPr="007A1A5A">
        <w:rPr>
          <w:rFonts w:ascii="Times New Roman" w:hAnsi="Times New Roman" w:cs="Times New Roman"/>
        </w:rPr>
        <w:t xml:space="preserve">Отбор объектов капитального строительства, в строительство, реконструкцию, в том числе с элементами реставрации, в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инициатором подготовки проекта решения с учетом приоритетов и целей развития муниципального образования "Город Томск" исходя из </w:t>
      </w:r>
      <w:hyperlink r:id="rId18" w:history="1">
        <w:r w:rsidRPr="007A1A5A">
          <w:rPr>
            <w:rFonts w:ascii="Times New Roman" w:hAnsi="Times New Roman" w:cs="Times New Roman"/>
          </w:rPr>
          <w:t>Стратегии</w:t>
        </w:r>
      </w:hyperlink>
      <w:r w:rsidRPr="007A1A5A">
        <w:rPr>
          <w:rFonts w:ascii="Times New Roman" w:hAnsi="Times New Roman" w:cs="Times New Roman"/>
        </w:rPr>
        <w:t xml:space="preserve"> социально-экономического развития муниципального образования "Город Томск" до 2030 года, а также</w:t>
      </w:r>
      <w:proofErr w:type="gramEnd"/>
      <w:r w:rsidRPr="007A1A5A">
        <w:rPr>
          <w:rFonts w:ascii="Times New Roman" w:hAnsi="Times New Roman" w:cs="Times New Roman"/>
        </w:rPr>
        <w:t xml:space="preserve"> программ и прогнозов социально-экономического развития города Томска, после проведения </w:t>
      </w:r>
      <w:proofErr w:type="gramStart"/>
      <w:r w:rsidRPr="007A1A5A">
        <w:rPr>
          <w:rFonts w:ascii="Times New Roman" w:hAnsi="Times New Roman" w:cs="Times New Roman"/>
        </w:rPr>
        <w:t>оценки эффективности использования средств бюджета муниципального</w:t>
      </w:r>
      <w:proofErr w:type="gramEnd"/>
      <w:r w:rsidRPr="007A1A5A">
        <w:rPr>
          <w:rFonts w:ascii="Times New Roman" w:hAnsi="Times New Roman" w:cs="Times New Roman"/>
        </w:rPr>
        <w:t xml:space="preserve"> образования "Город Томск", направляемых на капитальные вложения (далее - оценка эффективности).</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7 ред. </w:t>
      </w:r>
      <w:hyperlink r:id="rId19"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Title"/>
        <w:jc w:val="center"/>
        <w:outlineLvl w:val="1"/>
        <w:rPr>
          <w:rFonts w:ascii="Times New Roman" w:hAnsi="Times New Roman" w:cs="Times New Roman"/>
        </w:rPr>
      </w:pPr>
      <w:r w:rsidRPr="007A1A5A">
        <w:rPr>
          <w:rFonts w:ascii="Times New Roman" w:hAnsi="Times New Roman" w:cs="Times New Roman"/>
        </w:rPr>
        <w:t>II. ПОДГОТОВКА ПРОЕКТА РЕШЕНИЯ</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ind w:firstLine="540"/>
        <w:jc w:val="both"/>
        <w:rPr>
          <w:rFonts w:ascii="Times New Roman" w:hAnsi="Times New Roman" w:cs="Times New Roman"/>
        </w:rPr>
      </w:pPr>
      <w:r w:rsidRPr="007A1A5A">
        <w:rPr>
          <w:rFonts w:ascii="Times New Roman" w:hAnsi="Times New Roman" w:cs="Times New Roman"/>
        </w:rPr>
        <w:t>8. По решению главного распорядителя в проект муниципального правового акта включаются несколько объектов капитального строительства и (или) объектов недвижимого имущества.</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lastRenderedPageBreak/>
        <w:t xml:space="preserve">Проектом муниципального правового акта администрации Города Томска предусматривается объект капитального строительства при условии наличия положительного заключения о достоверности сметной стоимости инвестиционного проекта в отношении объектов капитального строительства по результатам проверки, проведенной в порядке, предусмотренном действующим законодательством Российской Федерации, с учетом норм </w:t>
      </w:r>
      <w:hyperlink r:id="rId20" w:history="1">
        <w:r w:rsidRPr="007A1A5A">
          <w:rPr>
            <w:rFonts w:ascii="Times New Roman" w:hAnsi="Times New Roman" w:cs="Times New Roman"/>
          </w:rPr>
          <w:t>части 2 статьи 8.3</w:t>
        </w:r>
      </w:hyperlink>
      <w:r w:rsidRPr="007A1A5A">
        <w:rPr>
          <w:rFonts w:ascii="Times New Roman" w:hAnsi="Times New Roman" w:cs="Times New Roman"/>
        </w:rPr>
        <w:t xml:space="preserve"> Градостроительного кодекса Российской Федерации.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подготовка муниципального правового акта администрации Города Томска </w:t>
      </w:r>
      <w:proofErr w:type="gramStart"/>
      <w:r w:rsidRPr="007A1A5A">
        <w:rPr>
          <w:rFonts w:ascii="Times New Roman" w:hAnsi="Times New Roman" w:cs="Times New Roman"/>
        </w:rPr>
        <w:t>осуществляется</w:t>
      </w:r>
      <w:proofErr w:type="gramEnd"/>
      <w:r w:rsidRPr="007A1A5A">
        <w:rPr>
          <w:rFonts w:ascii="Times New Roman" w:hAnsi="Times New Roman" w:cs="Times New Roman"/>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 xml:space="preserve">Главный распорядитель проводит оценку эффективности по вновь создаваемым объектам капитального строительства, объектам недвижимого имущества муниципальной собственности в соответствии с </w:t>
      </w:r>
      <w:hyperlink w:anchor="P130" w:history="1">
        <w:r w:rsidRPr="007A1A5A">
          <w:rPr>
            <w:rFonts w:ascii="Times New Roman" w:hAnsi="Times New Roman" w:cs="Times New Roman"/>
          </w:rPr>
          <w:t>критериями</w:t>
        </w:r>
      </w:hyperlink>
      <w:r w:rsidRPr="007A1A5A">
        <w:rPr>
          <w:rFonts w:ascii="Times New Roman" w:hAnsi="Times New Roman" w:cs="Times New Roman"/>
        </w:rPr>
        <w:t xml:space="preserve"> согласно приложению к настоящему Порядку и рассчитывает рейтинг эффективности.</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Оценка эффективности не проводится в отношении:</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а) переходящих объектов;</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б) жилых помещений, приобретаемых для предоставления гражданам, занимающим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в) жилых помещений, приобретаемых путем участия в долевом строительстве многоквартирных домов в муниципальную собственность с целью последующего предоставления на соответствующем праве гражданам, занимающим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г) жилых помещений, приобретаемых для предоставления на основании договора социального найма гражданам, страдающим тяжелыми формами хронических заболеваний, указанными в перечне, установленном уполномоченным Правительством Российской Федерации федеральным органом исполнительной власти;</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 xml:space="preserve">д) жилых помещений, приобретаемых для предоставления детям-сиротам и детям, оставшимся без попечения родителей, лицам из их числа по договорам найма специализированных жилых помещений в рамках государственной </w:t>
      </w:r>
      <w:hyperlink r:id="rId21" w:history="1">
        <w:r w:rsidRPr="007A1A5A">
          <w:rPr>
            <w:rFonts w:ascii="Times New Roman" w:hAnsi="Times New Roman" w:cs="Times New Roman"/>
          </w:rPr>
          <w:t>программы</w:t>
        </w:r>
      </w:hyperlink>
      <w:r w:rsidRPr="007A1A5A">
        <w:rPr>
          <w:rFonts w:ascii="Times New Roman" w:hAnsi="Times New Roman" w:cs="Times New Roman"/>
        </w:rPr>
        <w:t xml:space="preserve"> "Социальная поддержка населения Томской области, утвержденной постановлением Администрации Томской области от 27.09.2019 N 361а".</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8 в ред. </w:t>
      </w:r>
      <w:hyperlink r:id="rId22"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22.10.2020 N 933)</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9. Проект решения содержит следующую информацию в отношении каждого объекта капитального строительства либо объекта недвижимого имущества:</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roofErr w:type="gramEnd"/>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в) наименование главного распорядителя и муниципального заказчика;</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lastRenderedPageBreak/>
        <w:t>г) наименование застройщика (заказчика);</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д) мощность (прирост мощности) объекта капитального строительства, подлежащая вводу, мощность объекта недвижимого имущества;</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е) срок ввода в эксплуатацию (приобретения) объекта;</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w:t>
      </w:r>
      <w:proofErr w:type="gramEnd"/>
      <w:r w:rsidRPr="007A1A5A">
        <w:rPr>
          <w:rFonts w:ascii="Times New Roman" w:hAnsi="Times New Roman" w:cs="Times New Roman"/>
        </w:rPr>
        <w:t xml:space="preserve"> проведение экспертизы и проверки достоверности определения сметной стоимости инвестиционного проекта;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23"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w:t>
      </w:r>
      <w:proofErr w:type="gramEnd"/>
      <w:r w:rsidRPr="007A1A5A">
        <w:rPr>
          <w:rFonts w:ascii="Times New Roman" w:hAnsi="Times New Roman" w:cs="Times New Roman"/>
        </w:rPr>
        <w:t xml:space="preserve"> </w:t>
      </w:r>
      <w:proofErr w:type="gramStart"/>
      <w:r w:rsidRPr="007A1A5A">
        <w:rPr>
          <w:rFonts w:ascii="Times New Roman" w:hAnsi="Times New Roman" w:cs="Times New Roman"/>
        </w:rPr>
        <w:t>случаях</w:t>
      </w:r>
      <w:proofErr w:type="gramEnd"/>
      <w:r w:rsidRPr="007A1A5A">
        <w:rPr>
          <w:rFonts w:ascii="Times New Roman" w:hAnsi="Times New Roman" w:cs="Times New Roman"/>
        </w:rPr>
        <w:t xml:space="preserve"> на проведение экспертизы и проверки достоверности определения сметной стоимости инвестиционного проекта;</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24"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и) общий (предельный) объем инвестиций, предоставляемых на реализацию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25"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proofErr w:type="gramStart"/>
      <w:r w:rsidRPr="007A1A5A">
        <w:rPr>
          <w:rFonts w:ascii="Times New Roman" w:hAnsi="Times New Roman" w:cs="Times New Roman"/>
        </w:rPr>
        <w:t>к) распределение общего (предельного) объема предоставляемых инвестиций по годам реализации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26"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10. В проекте решения указывается возможность осуществления корректировки проектной документации и проведение инженерных изысканий, выполняемых для корректировки такой документации, а также в установленных законодательством случаях проведения экспертизы.</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(п. 10 в ред. </w:t>
      </w:r>
      <w:hyperlink r:id="rId27"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 xml:space="preserve">11. Главный распорядитель направляет согласованный в установленном муниципальным правовым актом администрации Города Томска порядке, в том числе с департаментом архитектуры и градостроительства администрации Города Томска, а также с департаментом капитального строительства администрации Города Томска, проект решения с пояснительной запиской и финансово-экономическим обоснованием одновременно в управление экономического развития администрации Города Томска и департамент финансов администрации Города Томска не </w:t>
      </w:r>
      <w:proofErr w:type="gramStart"/>
      <w:r w:rsidRPr="007A1A5A">
        <w:rPr>
          <w:rFonts w:ascii="Times New Roman" w:hAnsi="Times New Roman" w:cs="Times New Roman"/>
        </w:rPr>
        <w:t>позднее</w:t>
      </w:r>
      <w:proofErr w:type="gramEnd"/>
      <w:r w:rsidRPr="007A1A5A">
        <w:rPr>
          <w:rFonts w:ascii="Times New Roman" w:hAnsi="Times New Roman" w:cs="Times New Roman"/>
        </w:rPr>
        <w:t xml:space="preserve"> чем за 2 </w:t>
      </w:r>
      <w:proofErr w:type="gramStart"/>
      <w:r w:rsidRPr="007A1A5A">
        <w:rPr>
          <w:rFonts w:ascii="Times New Roman" w:hAnsi="Times New Roman" w:cs="Times New Roman"/>
        </w:rPr>
        <w:t xml:space="preserve">месяца до установленного графиком разработки прогноза социально-экономического развития и проекта бюджета муниципального образования "Город Томск" на очередной финансовый год и плановый период, утвержденный муниципальным правовым актом администрации Города Томска, срока для представления перечня инвестиционных проектов в </w:t>
      </w:r>
      <w:r w:rsidRPr="007A1A5A">
        <w:rPr>
          <w:rFonts w:ascii="Times New Roman" w:hAnsi="Times New Roman" w:cs="Times New Roman"/>
        </w:rPr>
        <w:lastRenderedPageBreak/>
        <w:t>целях формирования проекта бюджета на очередной финансовый год и плановый период.</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28"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11.07.2016 N 685)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12. Управление экономического развития администрации Города Томска согласовывает проект решения в части, касающейся его соответствия документам стратегического планирования муниципального образования "Город Томск", а также инвестиционной политики муниципального образования "Город Томск".</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постановлений администрации г. Томска от 11.07.2016 </w:t>
      </w:r>
      <w:hyperlink r:id="rId29" w:history="1">
        <w:r w:rsidRPr="007A1A5A">
          <w:rPr>
            <w:rFonts w:ascii="Times New Roman" w:hAnsi="Times New Roman" w:cs="Times New Roman"/>
          </w:rPr>
          <w:t>N 685</w:t>
        </w:r>
      </w:hyperlink>
      <w:r w:rsidRPr="007A1A5A">
        <w:rPr>
          <w:rFonts w:ascii="Times New Roman" w:hAnsi="Times New Roman" w:cs="Times New Roman"/>
        </w:rPr>
        <w:t xml:space="preserve">, от 27.10.2016 </w:t>
      </w:r>
      <w:hyperlink r:id="rId30" w:history="1">
        <w:r w:rsidRPr="007A1A5A">
          <w:rPr>
            <w:rFonts w:ascii="Times New Roman" w:hAnsi="Times New Roman" w:cs="Times New Roman"/>
          </w:rPr>
          <w:t>N 1134</w:t>
        </w:r>
      </w:hyperlink>
      <w:r w:rsidRPr="007A1A5A">
        <w:rPr>
          <w:rFonts w:ascii="Times New Roman" w:hAnsi="Times New Roman" w:cs="Times New Roman"/>
        </w:rPr>
        <w:t>)</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Проверка проведенной главными распорядителями оценки эффективности и подготовка заключения осуществляются управлением экономического развития администрации Города Томска на основании исходных данных для расчета оценки эффективности и расчета оценки эффективности, проведенной главными распорядителями, представленных в управление экономического развития администрации Города Томска одновременно с проектом решения.</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(абзац введен </w:t>
      </w:r>
      <w:hyperlink r:id="rId31" w:history="1">
        <w:r w:rsidRPr="007A1A5A">
          <w:rPr>
            <w:rFonts w:ascii="Times New Roman" w:hAnsi="Times New Roman" w:cs="Times New Roman"/>
          </w:rPr>
          <w:t>постановлением</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Положительное заключение об эффективности использования бюджетных средств получает объект, набравший не менее 100 баллов.</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(абзац введен </w:t>
      </w:r>
      <w:hyperlink r:id="rId32" w:history="1">
        <w:r w:rsidRPr="007A1A5A">
          <w:rPr>
            <w:rFonts w:ascii="Times New Roman" w:hAnsi="Times New Roman" w:cs="Times New Roman"/>
          </w:rPr>
          <w:t>постановлением</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Документы и материалы, необходимые для проведения проверки, представляются в управление экономического развития администрации Города Томска одновременно с проектом решения.</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33"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11.07.2016 N 685)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 xml:space="preserve">13. </w:t>
      </w:r>
      <w:proofErr w:type="gramStart"/>
      <w:r w:rsidRPr="007A1A5A">
        <w:rPr>
          <w:rFonts w:ascii="Times New Roman" w:hAnsi="Times New Roman" w:cs="Times New Roman"/>
        </w:rPr>
        <w:t>Необходимым условием согласования проекта решения департаментом финансов администрации Города Томска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 а также наличие положительного заключения об эффективности использования бюджетных средств, подготовленное управлением экономического развития администрации Города Томска.</w:t>
      </w:r>
      <w:proofErr w:type="gramEnd"/>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34"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13.06.2017 N 465)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Документы и материалы, необходимые для проведения проверки обоснованности указанного расчета, представляются в департамент финансов администрации Города Томска одновременно с проектом решения.</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14. Управление экономического развития администрации Города Томска и департамент финансов администрации Города Томска рассматривают проект решения в течение 30 календарных дней со дня его поступления.</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35"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11.07.2016 N 685)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15. После согласования проекта решения управлением экономического развития администрации Города Томска и департаментом финансов администрации Города Томска дальнейшее согласование осуществляется в порядке, предусмотренном муниципальным правовым актом, устанавливающим правила и порядок работы с организационно-распорядительными документами.</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(в ред. </w:t>
      </w:r>
      <w:hyperlink r:id="rId36" w:history="1">
        <w:r w:rsidRPr="007A1A5A">
          <w:rPr>
            <w:rFonts w:ascii="Times New Roman" w:hAnsi="Times New Roman" w:cs="Times New Roman"/>
          </w:rPr>
          <w:t>постановления</w:t>
        </w:r>
      </w:hyperlink>
      <w:r w:rsidRPr="007A1A5A">
        <w:rPr>
          <w:rFonts w:ascii="Times New Roman" w:hAnsi="Times New Roman" w:cs="Times New Roman"/>
        </w:rPr>
        <w:t xml:space="preserve"> администрации г. Томска от 11.07.2016 N 685)</w:t>
      </w:r>
    </w:p>
    <w:p w:rsidR="007A1A5A" w:rsidRPr="007A1A5A" w:rsidRDefault="007A1A5A">
      <w:pPr>
        <w:pStyle w:val="ConsPlusNormal"/>
        <w:spacing w:before="220"/>
        <w:ind w:firstLine="540"/>
        <w:jc w:val="both"/>
        <w:rPr>
          <w:rFonts w:ascii="Times New Roman" w:hAnsi="Times New Roman" w:cs="Times New Roman"/>
        </w:rPr>
      </w:pPr>
      <w:r w:rsidRPr="007A1A5A">
        <w:rPr>
          <w:rFonts w:ascii="Times New Roman" w:hAnsi="Times New Roman" w:cs="Times New Roman"/>
        </w:rPr>
        <w:t xml:space="preserve">16. Внесение изменений в решение, включая изменения, предусмотренные </w:t>
      </w:r>
      <w:hyperlink w:anchor="P70" w:history="1">
        <w:r w:rsidRPr="007A1A5A">
          <w:rPr>
            <w:rFonts w:ascii="Times New Roman" w:hAnsi="Times New Roman" w:cs="Times New Roman"/>
          </w:rPr>
          <w:t>абзацем вторым пункта 6</w:t>
        </w:r>
      </w:hyperlink>
      <w:r w:rsidRPr="007A1A5A">
        <w:rPr>
          <w:rFonts w:ascii="Times New Roman" w:hAnsi="Times New Roman" w:cs="Times New Roman"/>
        </w:rPr>
        <w:t xml:space="preserve"> настоящего Порядка, осуществляется в порядке, установленном настоящим Порядком для его принятия.</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right"/>
        <w:outlineLvl w:val="1"/>
        <w:rPr>
          <w:rFonts w:ascii="Times New Roman" w:hAnsi="Times New Roman" w:cs="Times New Roman"/>
        </w:rPr>
      </w:pPr>
      <w:r w:rsidRPr="007A1A5A">
        <w:rPr>
          <w:rFonts w:ascii="Times New Roman" w:hAnsi="Times New Roman" w:cs="Times New Roman"/>
        </w:rPr>
        <w:lastRenderedPageBreak/>
        <w:t>Приложение</w:t>
      </w:r>
    </w:p>
    <w:p w:rsidR="007A1A5A" w:rsidRPr="007A1A5A" w:rsidRDefault="007A1A5A">
      <w:pPr>
        <w:pStyle w:val="ConsPlusNormal"/>
        <w:jc w:val="right"/>
        <w:rPr>
          <w:rFonts w:ascii="Times New Roman" w:hAnsi="Times New Roman" w:cs="Times New Roman"/>
        </w:rPr>
      </w:pPr>
      <w:r w:rsidRPr="007A1A5A">
        <w:rPr>
          <w:rFonts w:ascii="Times New Roman" w:hAnsi="Times New Roman" w:cs="Times New Roman"/>
        </w:rPr>
        <w:t>к Порядку</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Title"/>
        <w:jc w:val="center"/>
        <w:rPr>
          <w:rFonts w:ascii="Times New Roman" w:hAnsi="Times New Roman" w:cs="Times New Roman"/>
        </w:rPr>
      </w:pPr>
      <w:bookmarkStart w:id="4" w:name="P130"/>
      <w:bookmarkEnd w:id="4"/>
      <w:r w:rsidRPr="007A1A5A">
        <w:rPr>
          <w:rFonts w:ascii="Times New Roman" w:hAnsi="Times New Roman" w:cs="Times New Roman"/>
        </w:rPr>
        <w:t>КРИТЕРИИ</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ОЦЕНКИ ЭФФЕКТИВНОСТИ ИСПОЛЬЗОВАНИЯ СРЕДСТВ</w:t>
      </w:r>
    </w:p>
    <w:p w:rsidR="007A1A5A" w:rsidRPr="007A1A5A" w:rsidRDefault="007A1A5A">
      <w:pPr>
        <w:pStyle w:val="ConsPlusTitle"/>
        <w:jc w:val="center"/>
        <w:rPr>
          <w:rFonts w:ascii="Times New Roman" w:hAnsi="Times New Roman" w:cs="Times New Roman"/>
        </w:rPr>
      </w:pPr>
      <w:r w:rsidRPr="007A1A5A">
        <w:rPr>
          <w:rFonts w:ascii="Times New Roman" w:hAnsi="Times New Roman" w:cs="Times New Roman"/>
        </w:rPr>
        <w:t>БЮДЖЕТА МУНИЦИПАЛЬНОГО ОБРАЗОВАНИЯ "ГОРОД ТОМСК",</w:t>
      </w:r>
    </w:p>
    <w:p w:rsidR="007A1A5A" w:rsidRPr="007A1A5A" w:rsidRDefault="007A1A5A">
      <w:pPr>
        <w:pStyle w:val="ConsPlusTitle"/>
        <w:jc w:val="center"/>
        <w:rPr>
          <w:rFonts w:ascii="Times New Roman" w:hAnsi="Times New Roman" w:cs="Times New Roman"/>
        </w:rPr>
      </w:pPr>
      <w:proofErr w:type="gramStart"/>
      <w:r w:rsidRPr="007A1A5A">
        <w:rPr>
          <w:rFonts w:ascii="Times New Roman" w:hAnsi="Times New Roman" w:cs="Times New Roman"/>
        </w:rPr>
        <w:t>НАПРАВЛЯЕМЫХ</w:t>
      </w:r>
      <w:proofErr w:type="gramEnd"/>
      <w:r w:rsidRPr="007A1A5A">
        <w:rPr>
          <w:rFonts w:ascii="Times New Roman" w:hAnsi="Times New Roman" w:cs="Times New Roman"/>
        </w:rPr>
        <w:t xml:space="preserve"> НА КАПИТАЛЬНЫЕ ВЛОЖЕНИЯ</w:t>
      </w:r>
    </w:p>
    <w:p w:rsidR="007A1A5A" w:rsidRPr="007A1A5A" w:rsidRDefault="007A1A5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A5A" w:rsidRPr="007A1A5A">
        <w:trPr>
          <w:jc w:val="center"/>
        </w:trPr>
        <w:tc>
          <w:tcPr>
            <w:tcW w:w="9294" w:type="dxa"/>
            <w:tcBorders>
              <w:top w:val="nil"/>
              <w:left w:val="single" w:sz="24" w:space="0" w:color="CED3F1"/>
              <w:bottom w:val="nil"/>
              <w:right w:val="single" w:sz="24" w:space="0" w:color="F4F3F8"/>
            </w:tcBorders>
            <w:shd w:val="clear" w:color="auto" w:fill="F4F3F8"/>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Список изменяющих документов</w:t>
            </w:r>
          </w:p>
          <w:p w:rsidR="007A1A5A" w:rsidRPr="007A1A5A" w:rsidRDefault="007A1A5A">
            <w:pPr>
              <w:pStyle w:val="ConsPlusNormal"/>
              <w:jc w:val="center"/>
              <w:rPr>
                <w:rFonts w:ascii="Times New Roman" w:hAnsi="Times New Roman" w:cs="Times New Roman"/>
              </w:rPr>
            </w:pPr>
            <w:proofErr w:type="gramStart"/>
            <w:r w:rsidRPr="007A1A5A">
              <w:rPr>
                <w:rFonts w:ascii="Times New Roman" w:hAnsi="Times New Roman" w:cs="Times New Roman"/>
              </w:rPr>
              <w:t xml:space="preserve">(введены </w:t>
            </w:r>
            <w:hyperlink r:id="rId37" w:history="1">
              <w:r w:rsidRPr="007A1A5A">
                <w:rPr>
                  <w:rFonts w:ascii="Times New Roman" w:hAnsi="Times New Roman" w:cs="Times New Roman"/>
                </w:rPr>
                <w:t>постановлением</w:t>
              </w:r>
            </w:hyperlink>
            <w:r w:rsidRPr="007A1A5A">
              <w:rPr>
                <w:rFonts w:ascii="Times New Roman" w:hAnsi="Times New Roman" w:cs="Times New Roman"/>
              </w:rPr>
              <w:t xml:space="preserve"> администрации г. Томска</w:t>
            </w:r>
            <w:proofErr w:type="gramEnd"/>
          </w:p>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от 13.06.2017 N 465)</w:t>
            </w:r>
          </w:p>
        </w:tc>
      </w:tr>
    </w:tbl>
    <w:p w:rsidR="007A1A5A" w:rsidRPr="007A1A5A" w:rsidRDefault="007A1A5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54"/>
        <w:gridCol w:w="2929"/>
        <w:gridCol w:w="724"/>
        <w:gridCol w:w="3061"/>
      </w:tblGrid>
      <w:tr w:rsidR="007A1A5A" w:rsidRPr="007A1A5A">
        <w:tc>
          <w:tcPr>
            <w:tcW w:w="394" w:type="dxa"/>
            <w:vAlign w:val="center"/>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 xml:space="preserve">N </w:t>
            </w:r>
            <w:proofErr w:type="spellStart"/>
            <w:r w:rsidRPr="007A1A5A">
              <w:rPr>
                <w:rFonts w:ascii="Times New Roman" w:hAnsi="Times New Roman" w:cs="Times New Roman"/>
              </w:rPr>
              <w:t>пп</w:t>
            </w:r>
            <w:proofErr w:type="spellEnd"/>
          </w:p>
        </w:tc>
        <w:tc>
          <w:tcPr>
            <w:tcW w:w="1954" w:type="dxa"/>
            <w:vAlign w:val="center"/>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Наименование критерия</w:t>
            </w:r>
          </w:p>
        </w:tc>
        <w:tc>
          <w:tcPr>
            <w:tcW w:w="2929" w:type="dxa"/>
            <w:vAlign w:val="center"/>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Значение критерия</w:t>
            </w:r>
          </w:p>
        </w:tc>
        <w:tc>
          <w:tcPr>
            <w:tcW w:w="724" w:type="dxa"/>
            <w:vAlign w:val="center"/>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Балл (макс. 210)</w:t>
            </w:r>
          </w:p>
        </w:tc>
        <w:tc>
          <w:tcPr>
            <w:tcW w:w="3061" w:type="dxa"/>
            <w:vAlign w:val="center"/>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Примечания</w:t>
            </w: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1</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Соответствие цели капитальных вложений стратегическим приоритетам</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 xml:space="preserve">Цель капитальных вложений соответствует приоритетам, обозначенным в </w:t>
            </w:r>
            <w:hyperlink r:id="rId38" w:history="1">
              <w:r w:rsidRPr="007A1A5A">
                <w:rPr>
                  <w:rFonts w:ascii="Times New Roman" w:hAnsi="Times New Roman" w:cs="Times New Roman"/>
                </w:rPr>
                <w:t>Стратегии</w:t>
              </w:r>
            </w:hyperlink>
            <w:r w:rsidRPr="007A1A5A">
              <w:rPr>
                <w:rFonts w:ascii="Times New Roman" w:hAnsi="Times New Roman" w:cs="Times New Roman"/>
              </w:rPr>
              <w:t xml:space="preserve"> социально-экономического развития муниципального образования "Город Томск"</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30</w:t>
            </w:r>
          </w:p>
        </w:tc>
        <w:tc>
          <w:tcPr>
            <w:tcW w:w="3061" w:type="dxa"/>
            <w:vMerge w:val="restart"/>
          </w:tcPr>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Цель капитальных вложений должна соответствовать целевым векторам, задачам, указанным в </w:t>
            </w:r>
            <w:hyperlink r:id="rId39" w:history="1">
              <w:r w:rsidRPr="007A1A5A">
                <w:rPr>
                  <w:rFonts w:ascii="Times New Roman" w:hAnsi="Times New Roman" w:cs="Times New Roman"/>
                </w:rPr>
                <w:t>Стратегии</w:t>
              </w:r>
            </w:hyperlink>
            <w:r w:rsidRPr="007A1A5A">
              <w:rPr>
                <w:rFonts w:ascii="Times New Roman" w:hAnsi="Times New Roman" w:cs="Times New Roman"/>
              </w:rPr>
              <w:t xml:space="preserve"> социально-экономического развития муниципального образования "Город Томск"</w:t>
            </w: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 xml:space="preserve">Цель капитальных вложений не соответствует приоритетам, обозначенным в </w:t>
            </w:r>
            <w:hyperlink r:id="rId40" w:history="1">
              <w:r w:rsidRPr="007A1A5A">
                <w:rPr>
                  <w:rFonts w:ascii="Times New Roman" w:hAnsi="Times New Roman" w:cs="Times New Roman"/>
                </w:rPr>
                <w:t>Стратегии</w:t>
              </w:r>
            </w:hyperlink>
            <w:r w:rsidRPr="007A1A5A">
              <w:rPr>
                <w:rFonts w:ascii="Times New Roman" w:hAnsi="Times New Roman" w:cs="Times New Roman"/>
              </w:rPr>
              <w:t xml:space="preserve"> социально-экономического развития муниципального образования "Город Томск", либо не указана</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2</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Соответствие фактического наличия Объектов требованиям о нормативной потребности</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Фактическое наличие объектов меньше нормативной потребности (наличие дефицита соответствующих услуг - при отсутствии нормативной потребности)</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40</w:t>
            </w:r>
          </w:p>
        </w:tc>
        <w:tc>
          <w:tcPr>
            <w:tcW w:w="3061" w:type="dxa"/>
            <w:vMerge w:val="restart"/>
          </w:tcPr>
          <w:p w:rsidR="007A1A5A" w:rsidRPr="007A1A5A" w:rsidRDefault="007A1A5A">
            <w:pPr>
              <w:pStyle w:val="ConsPlusNormal"/>
              <w:jc w:val="both"/>
              <w:rPr>
                <w:rFonts w:ascii="Times New Roman" w:hAnsi="Times New Roman" w:cs="Times New Roman"/>
              </w:rPr>
            </w:pPr>
            <w:proofErr w:type="gramStart"/>
            <w:r w:rsidRPr="007A1A5A">
              <w:rPr>
                <w:rFonts w:ascii="Times New Roman" w:hAnsi="Times New Roman" w:cs="Times New Roman"/>
              </w:rPr>
              <w:t>При определении нормативной потребности должны использоваться нормативы обеспеченности населения объектами социальной инфраструктуры, установленные на федеральном уровне (</w:t>
            </w:r>
            <w:hyperlink r:id="rId41" w:history="1">
              <w:r w:rsidRPr="007A1A5A">
                <w:rPr>
                  <w:rFonts w:ascii="Times New Roman" w:hAnsi="Times New Roman" w:cs="Times New Roman"/>
                </w:rPr>
                <w:t>Письмо</w:t>
              </w:r>
            </w:hyperlink>
            <w:r w:rsidRPr="007A1A5A">
              <w:rPr>
                <w:rFonts w:ascii="Times New Roman" w:hAnsi="Times New Roman" w:cs="Times New Roman"/>
              </w:rPr>
              <w:t xml:space="preserve"> </w:t>
            </w:r>
            <w:proofErr w:type="spellStart"/>
            <w:r w:rsidRPr="007A1A5A">
              <w:rPr>
                <w:rFonts w:ascii="Times New Roman" w:hAnsi="Times New Roman" w:cs="Times New Roman"/>
              </w:rPr>
              <w:t>Минобрнауки</w:t>
            </w:r>
            <w:proofErr w:type="spellEnd"/>
            <w:r w:rsidRPr="007A1A5A">
              <w:rPr>
                <w:rFonts w:ascii="Times New Roman" w:hAnsi="Times New Roman" w:cs="Times New Roman"/>
              </w:rPr>
              <w:t xml:space="preserve"> России от 04.05.2016 N АК-950/02 "О методических рекомендациях", </w:t>
            </w:r>
            <w:hyperlink r:id="rId42" w:history="1">
              <w:r w:rsidRPr="007A1A5A">
                <w:rPr>
                  <w:rFonts w:ascii="Times New Roman" w:hAnsi="Times New Roman" w:cs="Times New Roman"/>
                </w:rPr>
                <w:t>Приказ</w:t>
              </w:r>
            </w:hyperlink>
            <w:r w:rsidRPr="007A1A5A">
              <w:rPr>
                <w:rFonts w:ascii="Times New Roman" w:hAnsi="Times New Roman" w:cs="Times New Roman"/>
              </w:rPr>
              <w:t xml:space="preserve"> </w:t>
            </w:r>
            <w:proofErr w:type="spellStart"/>
            <w:r w:rsidRPr="007A1A5A">
              <w:rPr>
                <w:rFonts w:ascii="Times New Roman" w:hAnsi="Times New Roman" w:cs="Times New Roman"/>
              </w:rPr>
              <w:t>Минспорта</w:t>
            </w:r>
            <w:proofErr w:type="spellEnd"/>
            <w:r w:rsidRPr="007A1A5A">
              <w:rPr>
                <w:rFonts w:ascii="Times New Roman" w:hAnsi="Times New Roman" w:cs="Times New Roman"/>
              </w:rPr>
              <w:t xml:space="preserve">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hyperlink r:id="rId43" w:history="1">
              <w:r w:rsidRPr="007A1A5A">
                <w:rPr>
                  <w:rFonts w:ascii="Times New Roman" w:hAnsi="Times New Roman" w:cs="Times New Roman"/>
                </w:rPr>
                <w:t>Распоряжение</w:t>
              </w:r>
            </w:hyperlink>
            <w:r w:rsidRPr="007A1A5A">
              <w:rPr>
                <w:rFonts w:ascii="Times New Roman" w:hAnsi="Times New Roman" w:cs="Times New Roman"/>
              </w:rPr>
              <w:t xml:space="preserve"> Минкультуры России от 27.07.2016 N Р-948</w:t>
            </w:r>
            <w:proofErr w:type="gramEnd"/>
            <w:r w:rsidRPr="007A1A5A">
              <w:rPr>
                <w:rFonts w:ascii="Times New Roman" w:hAnsi="Times New Roman" w:cs="Times New Roman"/>
              </w:rPr>
              <w:t xml:space="preserve"> "Об утверждении Методических рекомендаций </w:t>
            </w:r>
            <w:r w:rsidRPr="007A1A5A">
              <w:rPr>
                <w:rFonts w:ascii="Times New Roman" w:hAnsi="Times New Roman" w:cs="Times New Roman"/>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hyperlink r:id="rId44" w:history="1">
              <w:r w:rsidRPr="007A1A5A">
                <w:rPr>
                  <w:rFonts w:ascii="Times New Roman" w:hAnsi="Times New Roman" w:cs="Times New Roman"/>
                </w:rPr>
                <w:t xml:space="preserve">ГОСТ </w:t>
              </w:r>
              <w:proofErr w:type="gramStart"/>
              <w:r w:rsidRPr="007A1A5A">
                <w:rPr>
                  <w:rFonts w:ascii="Times New Roman" w:hAnsi="Times New Roman" w:cs="Times New Roman"/>
                </w:rPr>
                <w:t>Р</w:t>
              </w:r>
              <w:proofErr w:type="gramEnd"/>
              <w:r w:rsidRPr="007A1A5A">
                <w:rPr>
                  <w:rFonts w:ascii="Times New Roman" w:hAnsi="Times New Roman" w:cs="Times New Roman"/>
                </w:rPr>
                <w:t xml:space="preserve"> 50597-93</w:t>
              </w:r>
            </w:hyperlink>
            <w:r w:rsidRPr="007A1A5A">
              <w:rPr>
                <w:rFonts w:ascii="Times New Roman" w:hAnsi="Times New Roman" w:cs="Times New Roman"/>
              </w:rPr>
              <w:t xml:space="preserve">. Государственный стандарт Российской Федерации. Автомобильные дороги и улицы. </w:t>
            </w:r>
            <w:proofErr w:type="gramStart"/>
            <w:r w:rsidRPr="007A1A5A">
              <w:rPr>
                <w:rFonts w:ascii="Times New Roman" w:hAnsi="Times New Roman" w:cs="Times New Roman"/>
              </w:rPr>
              <w:t>Требования к эксплуатационному состоянию, допустимому по условиям обеспечения безопасности дорожного движения" и т.д.)</w:t>
            </w:r>
            <w:proofErr w:type="gramEnd"/>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Фактическое наличие объектов соответствует требованиям о нормативной потребности (либо превышает нормативную потребность)</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lastRenderedPageBreak/>
              <w:t>3</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Отношение объема капитальных вложений к количественным показателям</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проектам-аналогам</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30</w:t>
            </w:r>
          </w:p>
        </w:tc>
        <w:tc>
          <w:tcPr>
            <w:tcW w:w="3061" w:type="dxa"/>
            <w:vMerge w:val="restart"/>
          </w:tcPr>
          <w:p w:rsidR="007A1A5A" w:rsidRPr="007A1A5A" w:rsidRDefault="007A1A5A">
            <w:pPr>
              <w:pStyle w:val="ConsPlusNormal"/>
              <w:jc w:val="both"/>
              <w:rPr>
                <w:rFonts w:ascii="Times New Roman" w:hAnsi="Times New Roman" w:cs="Times New Roman"/>
              </w:rPr>
            </w:pPr>
            <w:proofErr w:type="gramStart"/>
            <w:r w:rsidRPr="007A1A5A">
              <w:rPr>
                <w:rFonts w:ascii="Times New Roman" w:hAnsi="Times New Roman" w:cs="Times New Roman"/>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(при принятии решения об использовании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w:t>
            </w:r>
            <w:proofErr w:type="gramEnd"/>
            <w:r w:rsidRPr="007A1A5A">
              <w:rPr>
                <w:rFonts w:ascii="Times New Roman" w:hAnsi="Times New Roman" w:cs="Times New Roman"/>
              </w:rPr>
              <w:t xml:space="preserve"> общей стоимости машин и </w:t>
            </w:r>
            <w:proofErr w:type="gramStart"/>
            <w:r w:rsidRPr="007A1A5A">
              <w:rPr>
                <w:rFonts w:ascii="Times New Roman" w:hAnsi="Times New Roman" w:cs="Times New Roman"/>
              </w:rPr>
              <w:t>оборудования</w:t>
            </w:r>
            <w:proofErr w:type="gramEnd"/>
            <w:r w:rsidRPr="007A1A5A">
              <w:rPr>
                <w:rFonts w:ascii="Times New Roman" w:hAnsi="Times New Roman" w:cs="Times New Roman"/>
              </w:rPr>
              <w:t xml:space="preserve"> которого не превышает значения соответствующих показателей по рассматриваемому проекту.</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xml:space="preserve">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в Российской Федерации, на территории муниципального образования "Город Томск", или в иностранном государстве в </w:t>
            </w:r>
            <w:r w:rsidRPr="007A1A5A">
              <w:rPr>
                <w:rFonts w:ascii="Times New Roman" w:hAnsi="Times New Roman" w:cs="Times New Roman"/>
              </w:rPr>
              <w:lastRenderedPageBreak/>
              <w:t>случае отсутствия проектов-аналогов, реализуемых на территории Российской Федерации.</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При выборе проектов-аналогов должно быть обеспечено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w:t>
            </w: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проектам-аналогам не более чем на 5%</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15</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проектам-аналогам более чем на 5%</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lastRenderedPageBreak/>
              <w:t>4</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Наличие достаточного количества потребителей</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Потребность в данных услугах (продуктах) превышает проектную мощность объекта</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30</w:t>
            </w:r>
          </w:p>
        </w:tc>
        <w:tc>
          <w:tcPr>
            <w:tcW w:w="3061" w:type="dxa"/>
            <w:vMerge w:val="restart"/>
          </w:tcPr>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Потребность в услугах (продуктах) определяется с учетом установленных нормативов</w:t>
            </w: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Потребность в данных услугах (продуктах) соответствует проектной мощности объекта</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15</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Проектная мощности объекта превышает потребность в данных услугах (продуктах)</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5</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Фактическое наличие</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40</w:t>
            </w:r>
          </w:p>
        </w:tc>
        <w:tc>
          <w:tcPr>
            <w:tcW w:w="3061" w:type="dxa"/>
            <w:vMerge w:val="restart"/>
          </w:tcPr>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Реквизиты положительного заключения государственной экспертизы проектной документации и результатов инженерных изысканий и о проверке достоверности определения сметной стоимости</w:t>
            </w: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Отсутствие</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val="restart"/>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6</w:t>
            </w:r>
          </w:p>
        </w:tc>
        <w:tc>
          <w:tcPr>
            <w:tcW w:w="1954" w:type="dxa"/>
            <w:vMerge w:val="restart"/>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 xml:space="preserve">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w:t>
            </w:r>
            <w:r w:rsidRPr="007A1A5A">
              <w:rPr>
                <w:rFonts w:ascii="Times New Roman" w:hAnsi="Times New Roman" w:cs="Times New Roman"/>
              </w:rPr>
              <w:lastRenderedPageBreak/>
              <w:t>инвестиционного проекта</w:t>
            </w: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lastRenderedPageBreak/>
              <w:t>Фактически обеспечено</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40</w:t>
            </w:r>
          </w:p>
        </w:tc>
        <w:tc>
          <w:tcPr>
            <w:tcW w:w="3061" w:type="dxa"/>
            <w:vMerge w:val="restart"/>
          </w:tcPr>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Обоснование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 в размере:</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свыше 80% (значение критерия "фактически обеспечено");</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lastRenderedPageBreak/>
              <w:t>- от 30 до 80% (значение критерия "частично обеспечено");</w:t>
            </w:r>
          </w:p>
          <w:p w:rsidR="007A1A5A" w:rsidRPr="007A1A5A" w:rsidRDefault="007A1A5A">
            <w:pPr>
              <w:pStyle w:val="ConsPlusNormal"/>
              <w:jc w:val="both"/>
              <w:rPr>
                <w:rFonts w:ascii="Times New Roman" w:hAnsi="Times New Roman" w:cs="Times New Roman"/>
              </w:rPr>
            </w:pPr>
            <w:r w:rsidRPr="007A1A5A">
              <w:rPr>
                <w:rFonts w:ascii="Times New Roman" w:hAnsi="Times New Roman" w:cs="Times New Roman"/>
              </w:rPr>
              <w:t>- менее 30% (значение критерия "не обеспечено")</w:t>
            </w: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Частично обеспечено</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20</w:t>
            </w:r>
          </w:p>
        </w:tc>
        <w:tc>
          <w:tcPr>
            <w:tcW w:w="3061" w:type="dxa"/>
            <w:vMerge/>
          </w:tcPr>
          <w:p w:rsidR="007A1A5A" w:rsidRPr="007A1A5A" w:rsidRDefault="007A1A5A">
            <w:pPr>
              <w:rPr>
                <w:rFonts w:ascii="Times New Roman" w:hAnsi="Times New Roman" w:cs="Times New Roman"/>
              </w:rPr>
            </w:pPr>
          </w:p>
        </w:tc>
      </w:tr>
      <w:tr w:rsidR="007A1A5A" w:rsidRPr="007A1A5A">
        <w:tc>
          <w:tcPr>
            <w:tcW w:w="394" w:type="dxa"/>
            <w:vMerge/>
          </w:tcPr>
          <w:p w:rsidR="007A1A5A" w:rsidRPr="007A1A5A" w:rsidRDefault="007A1A5A">
            <w:pPr>
              <w:rPr>
                <w:rFonts w:ascii="Times New Roman" w:hAnsi="Times New Roman" w:cs="Times New Roman"/>
              </w:rPr>
            </w:pPr>
          </w:p>
        </w:tc>
        <w:tc>
          <w:tcPr>
            <w:tcW w:w="1954" w:type="dxa"/>
            <w:vMerge/>
          </w:tcPr>
          <w:p w:rsidR="007A1A5A" w:rsidRPr="007A1A5A" w:rsidRDefault="007A1A5A">
            <w:pPr>
              <w:rPr>
                <w:rFonts w:ascii="Times New Roman" w:hAnsi="Times New Roman" w:cs="Times New Roman"/>
              </w:rPr>
            </w:pPr>
          </w:p>
        </w:tc>
        <w:tc>
          <w:tcPr>
            <w:tcW w:w="2929" w:type="dxa"/>
          </w:tcPr>
          <w:p w:rsidR="007A1A5A" w:rsidRPr="007A1A5A" w:rsidRDefault="007A1A5A">
            <w:pPr>
              <w:pStyle w:val="ConsPlusNormal"/>
              <w:rPr>
                <w:rFonts w:ascii="Times New Roman" w:hAnsi="Times New Roman" w:cs="Times New Roman"/>
              </w:rPr>
            </w:pPr>
            <w:r w:rsidRPr="007A1A5A">
              <w:rPr>
                <w:rFonts w:ascii="Times New Roman" w:hAnsi="Times New Roman" w:cs="Times New Roman"/>
              </w:rPr>
              <w:t>Не обеспечено</w:t>
            </w:r>
          </w:p>
        </w:tc>
        <w:tc>
          <w:tcPr>
            <w:tcW w:w="724" w:type="dxa"/>
          </w:tcPr>
          <w:p w:rsidR="007A1A5A" w:rsidRPr="007A1A5A" w:rsidRDefault="007A1A5A">
            <w:pPr>
              <w:pStyle w:val="ConsPlusNormal"/>
              <w:jc w:val="center"/>
              <w:rPr>
                <w:rFonts w:ascii="Times New Roman" w:hAnsi="Times New Roman" w:cs="Times New Roman"/>
              </w:rPr>
            </w:pPr>
            <w:r w:rsidRPr="007A1A5A">
              <w:rPr>
                <w:rFonts w:ascii="Times New Roman" w:hAnsi="Times New Roman" w:cs="Times New Roman"/>
              </w:rPr>
              <w:t>0</w:t>
            </w:r>
          </w:p>
        </w:tc>
        <w:tc>
          <w:tcPr>
            <w:tcW w:w="3061" w:type="dxa"/>
            <w:vMerge/>
          </w:tcPr>
          <w:p w:rsidR="007A1A5A" w:rsidRPr="007A1A5A" w:rsidRDefault="007A1A5A">
            <w:pPr>
              <w:rPr>
                <w:rFonts w:ascii="Times New Roman" w:hAnsi="Times New Roman" w:cs="Times New Roman"/>
              </w:rPr>
            </w:pPr>
          </w:p>
        </w:tc>
      </w:tr>
    </w:tbl>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ind w:firstLine="540"/>
        <w:jc w:val="both"/>
        <w:rPr>
          <w:rFonts w:ascii="Times New Roman" w:hAnsi="Times New Roman" w:cs="Times New Roman"/>
        </w:rPr>
      </w:pPr>
      <w:r w:rsidRPr="007A1A5A">
        <w:rPr>
          <w:rFonts w:ascii="Times New Roman" w:hAnsi="Times New Roman" w:cs="Times New Roman"/>
        </w:rPr>
        <w:t>Рейтинг эффективности рассчитывается по формуле: </w:t>
      </w:r>
      <w:r w:rsidR="00CE6942">
        <w:rPr>
          <w:rFonts w:ascii="Times New Roman" w:hAnsi="Times New Roman" w:cs="Times New Roman"/>
          <w:position w:val="-11"/>
        </w:rPr>
        <w:pict>
          <v:shape id="_x0000_i1025" style="width:82.8pt;height:22.2pt" coordsize="" o:spt="100" adj="0,,0" path="" filled="f" stroked="f">
            <v:stroke joinstyle="miter"/>
            <v:imagedata r:id="rId45" o:title="base_23643_146536_32768"/>
            <v:formulas/>
            <v:path o:connecttype="segments"/>
          </v:shape>
        </w:pic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ind w:firstLine="540"/>
        <w:jc w:val="both"/>
        <w:rPr>
          <w:rFonts w:ascii="Times New Roman" w:hAnsi="Times New Roman" w:cs="Times New Roman"/>
        </w:rPr>
      </w:pPr>
      <w:proofErr w:type="spellStart"/>
      <w:r w:rsidRPr="007A1A5A">
        <w:rPr>
          <w:rFonts w:ascii="Times New Roman" w:hAnsi="Times New Roman" w:cs="Times New Roman"/>
        </w:rPr>
        <w:t>Ri</w:t>
      </w:r>
      <w:proofErr w:type="spellEnd"/>
      <w:r w:rsidRPr="007A1A5A">
        <w:rPr>
          <w:rFonts w:ascii="Times New Roman" w:hAnsi="Times New Roman" w:cs="Times New Roman"/>
        </w:rPr>
        <w:t xml:space="preserve"> - рейтинг эффективности;</w:t>
      </w:r>
    </w:p>
    <w:p w:rsidR="007A1A5A" w:rsidRPr="007A1A5A" w:rsidRDefault="007A1A5A">
      <w:pPr>
        <w:pStyle w:val="ConsPlusNormal"/>
        <w:spacing w:before="220"/>
        <w:ind w:firstLine="540"/>
        <w:jc w:val="both"/>
        <w:rPr>
          <w:rFonts w:ascii="Times New Roman" w:hAnsi="Times New Roman" w:cs="Times New Roman"/>
        </w:rPr>
      </w:pPr>
      <w:proofErr w:type="spellStart"/>
      <w:r w:rsidRPr="007A1A5A">
        <w:rPr>
          <w:rFonts w:ascii="Times New Roman" w:hAnsi="Times New Roman" w:cs="Times New Roman"/>
        </w:rPr>
        <w:t>Ki</w:t>
      </w:r>
      <w:proofErr w:type="spellEnd"/>
      <w:r w:rsidRPr="007A1A5A">
        <w:rPr>
          <w:rFonts w:ascii="Times New Roman" w:hAnsi="Times New Roman" w:cs="Times New Roman"/>
        </w:rPr>
        <w:t xml:space="preserve"> - балльное значение критерия эффективности.</w:t>
      </w: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jc w:val="both"/>
        <w:rPr>
          <w:rFonts w:ascii="Times New Roman" w:hAnsi="Times New Roman" w:cs="Times New Roman"/>
        </w:rPr>
      </w:pPr>
    </w:p>
    <w:p w:rsidR="007A1A5A" w:rsidRPr="007A1A5A" w:rsidRDefault="007A1A5A">
      <w:pPr>
        <w:pStyle w:val="ConsPlusNormal"/>
        <w:pBdr>
          <w:top w:val="single" w:sz="6" w:space="0" w:color="auto"/>
        </w:pBdr>
        <w:spacing w:before="100" w:after="100"/>
        <w:jc w:val="both"/>
        <w:rPr>
          <w:rFonts w:ascii="Times New Roman" w:hAnsi="Times New Roman" w:cs="Times New Roman"/>
          <w:sz w:val="2"/>
          <w:szCs w:val="2"/>
        </w:rPr>
      </w:pPr>
    </w:p>
    <w:p w:rsidR="00F54EEC" w:rsidRPr="007A1A5A" w:rsidRDefault="00F54EEC">
      <w:pPr>
        <w:rPr>
          <w:rFonts w:ascii="Times New Roman" w:hAnsi="Times New Roman" w:cs="Times New Roman"/>
        </w:rPr>
      </w:pPr>
    </w:p>
    <w:sectPr w:rsidR="00F54EEC" w:rsidRPr="007A1A5A" w:rsidSect="00C3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5A"/>
    <w:rsid w:val="007A1A5A"/>
    <w:rsid w:val="00CE6942"/>
    <w:rsid w:val="00F5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A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A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D7E60B360FD343B3B9E6A76A227A0C546E352E4C60651E93C9E682D54F0AD51E720E804DA03780934A9160A68A265E20A8E36731ED6A4053ED1F47wBADI" TargetMode="External"/><Relationship Id="rId18" Type="http://schemas.openxmlformats.org/officeDocument/2006/relationships/hyperlink" Target="consultantplus://offline/ref=8ED7E60B360FD343B3B9E6A76A227A0C546E352E4C60671B9AC5E682D54F0AD51E720E804DA03780934A9867A08A265E20A8E36731ED6A4053ED1F47wBADI" TargetMode="External"/><Relationship Id="rId26" Type="http://schemas.openxmlformats.org/officeDocument/2006/relationships/hyperlink" Target="consultantplus://offline/ref=8ED7E60B360FD343B3B9E6A76A227A0C546E352E4C65631D9CC9E682D54F0AD51E720E804DA03780934A9164A38A265E20A8E36731ED6A4053ED1F47wBADI" TargetMode="External"/><Relationship Id="rId39" Type="http://schemas.openxmlformats.org/officeDocument/2006/relationships/hyperlink" Target="consultantplus://offline/ref=8ED7E60B360FD343B3B9E6A76A227A0C546E352E4C60671B9AC5E682D54F0AD51E720E804DA03780934A9867A08A265E20A8E36731ED6A4053ED1F47wBADI" TargetMode="External"/><Relationship Id="rId21" Type="http://schemas.openxmlformats.org/officeDocument/2006/relationships/hyperlink" Target="consultantplus://offline/ref=8ED7E60B360FD343B3B9E6A76A227A0C546E352E4C6067139FC7E682D54F0AD51E720E804DA03780934A9166A08A265E20A8E36731ED6A4053ED1F47wBADI" TargetMode="External"/><Relationship Id="rId34" Type="http://schemas.openxmlformats.org/officeDocument/2006/relationships/hyperlink" Target="consultantplus://offline/ref=8ED7E60B360FD343B3B9E6A76A227A0C546E352E4C65631D9CC9E682D54F0AD51E720E804DA03780934A9167A78A265E20A8E36731ED6A4053ED1F47wBADI" TargetMode="External"/><Relationship Id="rId42" Type="http://schemas.openxmlformats.org/officeDocument/2006/relationships/hyperlink" Target="consultantplus://offline/ref=8ED7E60B360FD343B3B9F8AA7C4E240857656C254B6D684CC794E0D58A1F0C804C3250D90DE4248093549365A7w8A1I" TargetMode="External"/><Relationship Id="rId47" Type="http://schemas.openxmlformats.org/officeDocument/2006/relationships/theme" Target="theme/theme1.xml"/><Relationship Id="rId7" Type="http://schemas.openxmlformats.org/officeDocument/2006/relationships/hyperlink" Target="consultantplus://offline/ref=8ED7E60B360FD343B3B9E6A76A227A0C546E352E4C65631D9CC9E682D54F0AD51E720E804DA03780934A9165A08A265E20A8E36731ED6A4053ED1F47wBADI" TargetMode="External"/><Relationship Id="rId2" Type="http://schemas.microsoft.com/office/2007/relationships/stylesWithEffects" Target="stylesWithEffects.xml"/><Relationship Id="rId16" Type="http://schemas.openxmlformats.org/officeDocument/2006/relationships/hyperlink" Target="consultantplus://offline/ref=8ED7E60B360FD343B3B9F8AA7C4E240856636E214B64684CC794E0D58A1F0C805E3208D50EE73E829041C534E1D47F0C64E3EF642FF16B42w4ADI" TargetMode="External"/><Relationship Id="rId29" Type="http://schemas.openxmlformats.org/officeDocument/2006/relationships/hyperlink" Target="consultantplus://offline/ref=8ED7E60B360FD343B3B9E6A76A227A0C546E352E4C60611299C9E682D54F0AD51E720E804DA03780934A9167A38A265E20A8E36731ED6A4053ED1F47wBADI" TargetMode="External"/><Relationship Id="rId1" Type="http://schemas.openxmlformats.org/officeDocument/2006/relationships/styles" Target="styles.xml"/><Relationship Id="rId6" Type="http://schemas.openxmlformats.org/officeDocument/2006/relationships/hyperlink" Target="consultantplus://offline/ref=8ED7E60B360FD343B3B9E6A76A227A0C546E352E4C64601293C1E682D54F0AD51E720E804DA03780934A9165A08A265E20A8E36731ED6A4053ED1F47wBADI" TargetMode="External"/><Relationship Id="rId11" Type="http://schemas.openxmlformats.org/officeDocument/2006/relationships/hyperlink" Target="consultantplus://offline/ref=8ED7E60B360FD343B3B9E6A76A227A0C546E352E4C65631D9CC9E682D54F0AD51E720E804DA03780934A9165A38A265E20A8E36731ED6A4053ED1F47wBADI" TargetMode="External"/><Relationship Id="rId24" Type="http://schemas.openxmlformats.org/officeDocument/2006/relationships/hyperlink" Target="consultantplus://offline/ref=8ED7E60B360FD343B3B9E6A76A227A0C546E352E4C65631D9CC9E682D54F0AD51E720E804DA03780934A9164A38A265E20A8E36731ED6A4053ED1F47wBADI" TargetMode="External"/><Relationship Id="rId32" Type="http://schemas.openxmlformats.org/officeDocument/2006/relationships/hyperlink" Target="consultantplus://offline/ref=8ED7E60B360FD343B3B9E6A76A227A0C546E352E4C65631D9CC9E682D54F0AD51E720E804DA03780934A9167A48A265E20A8E36731ED6A4053ED1F47wBADI" TargetMode="External"/><Relationship Id="rId37" Type="http://schemas.openxmlformats.org/officeDocument/2006/relationships/hyperlink" Target="consultantplus://offline/ref=8ED7E60B360FD343B3B9E6A76A227A0C546E352E4C65631D9CC9E682D54F0AD51E720E804DA03780934A9167A18A265E20A8E36731ED6A4053ED1F47wBADI" TargetMode="External"/><Relationship Id="rId40" Type="http://schemas.openxmlformats.org/officeDocument/2006/relationships/hyperlink" Target="consultantplus://offline/ref=8ED7E60B360FD343B3B9E6A76A227A0C546E352E4C60671B9AC5E682D54F0AD51E720E804DA03780934A9867A08A265E20A8E36731ED6A4053ED1F47wBADI" TargetMode="External"/><Relationship Id="rId45" Type="http://schemas.openxmlformats.org/officeDocument/2006/relationships/image" Target="media/image1.wmf"/><Relationship Id="rId5" Type="http://schemas.openxmlformats.org/officeDocument/2006/relationships/hyperlink" Target="consultantplus://offline/ref=8ED7E60B360FD343B3B9E6A76A227A0C546E352E4C60611299C9E682D54F0AD51E720E804DA03780934A9167A78A265E20A8E36731ED6A4053ED1F47wBADI" TargetMode="External"/><Relationship Id="rId15" Type="http://schemas.openxmlformats.org/officeDocument/2006/relationships/hyperlink" Target="consultantplus://offline/ref=8ED7E60B360FD343B3B9E6A76A227A0C546E352E4C60651E93C9E682D54F0AD51E720E804DA03780934A9160A38A265E20A8E36731ED6A4053ED1F47wBADI" TargetMode="External"/><Relationship Id="rId23" Type="http://schemas.openxmlformats.org/officeDocument/2006/relationships/hyperlink" Target="consultantplus://offline/ref=8ED7E60B360FD343B3B9E6A76A227A0C546E352E4C65631D9CC9E682D54F0AD51E720E804DA03780934A9164A38A265E20A8E36731ED6A4053ED1F47wBADI" TargetMode="External"/><Relationship Id="rId28" Type="http://schemas.openxmlformats.org/officeDocument/2006/relationships/hyperlink" Target="consultantplus://offline/ref=8ED7E60B360FD343B3B9E6A76A227A0C546E352E4C60611299C9E682D54F0AD51E720E804DA03780934A9167A38A265E20A8E36731ED6A4053ED1F47wBADI" TargetMode="External"/><Relationship Id="rId36" Type="http://schemas.openxmlformats.org/officeDocument/2006/relationships/hyperlink" Target="consultantplus://offline/ref=8ED7E60B360FD343B3B9E6A76A227A0C546E352E4C60611299C9E682D54F0AD51E720E804DA03780934A9167A38A265E20A8E36731ED6A4053ED1F47wBADI" TargetMode="External"/><Relationship Id="rId10" Type="http://schemas.openxmlformats.org/officeDocument/2006/relationships/hyperlink" Target="consultantplus://offline/ref=8ED7E60B360FD343B3B9E6A76A227A0C546E352E4C65631D9CC9E682D54F0AD51E720E804DA03780934A9165A38A265E20A8E36731ED6A4053ED1F47wBADI" TargetMode="External"/><Relationship Id="rId19" Type="http://schemas.openxmlformats.org/officeDocument/2006/relationships/hyperlink" Target="consultantplus://offline/ref=8ED7E60B360FD343B3B9E6A76A227A0C546E352E4C65631D9CC9E682D54F0AD51E720E804DA03780934A9165AC8A265E20A8E36731ED6A4053ED1F47wBADI" TargetMode="External"/><Relationship Id="rId31" Type="http://schemas.openxmlformats.org/officeDocument/2006/relationships/hyperlink" Target="consultantplus://offline/ref=8ED7E60B360FD343B3B9E6A76A227A0C546E352E4C65631D9CC9E682D54F0AD51E720E804DA03780934A9164AC8A265E20A8E36731ED6A4053ED1F47wBADI" TargetMode="External"/><Relationship Id="rId44" Type="http://schemas.openxmlformats.org/officeDocument/2006/relationships/hyperlink" Target="consultantplus://offline/ref=8ED7E60B360FD343B3B9F8AA7C4E240854666E2B4861684CC794E0D58A1F0C804C3250D90DE4248093549365A7w8A1I" TargetMode="External"/><Relationship Id="rId4" Type="http://schemas.openxmlformats.org/officeDocument/2006/relationships/webSettings" Target="webSettings.xml"/><Relationship Id="rId9" Type="http://schemas.openxmlformats.org/officeDocument/2006/relationships/hyperlink" Target="consultantplus://offline/ref=8ED7E60B360FD343B3B9E6A76A227A0C546E352E4C60651E93C9E682D54F0AD51E720E804DA03780934A9160A68A265E20A8E36731ED6A4053ED1F47wBADI" TargetMode="External"/><Relationship Id="rId14" Type="http://schemas.openxmlformats.org/officeDocument/2006/relationships/hyperlink" Target="consultantplus://offline/ref=8ED7E60B360FD343B3B9E6A76A227A0C546E352E4C60651E93C9E682D54F0AD51E720E804DA03780934A9160A08A265E20A8E36731ED6A4053ED1F47wBADI" TargetMode="External"/><Relationship Id="rId22" Type="http://schemas.openxmlformats.org/officeDocument/2006/relationships/hyperlink" Target="consultantplus://offline/ref=8ED7E60B360FD343B3B9E6A76A227A0C546E352E4C60651E93C9E682D54F0AD51E720E804DA03780934A9160A28A265E20A8E36731ED6A4053ED1F47wBADI" TargetMode="External"/><Relationship Id="rId27" Type="http://schemas.openxmlformats.org/officeDocument/2006/relationships/hyperlink" Target="consultantplus://offline/ref=8ED7E60B360FD343B3B9E6A76A227A0C546E352E4C65631D9CC9E682D54F0AD51E720E804DA03780934A9164A28A265E20A8E36731ED6A4053ED1F47wBADI" TargetMode="External"/><Relationship Id="rId30" Type="http://schemas.openxmlformats.org/officeDocument/2006/relationships/hyperlink" Target="consultantplus://offline/ref=8ED7E60B360FD343B3B9E6A76A227A0C546E352E4C64601293C1E682D54F0AD51E720E804DA03780934A9165AD8A265E20A8E36731ED6A4053ED1F47wBADI" TargetMode="External"/><Relationship Id="rId35" Type="http://schemas.openxmlformats.org/officeDocument/2006/relationships/hyperlink" Target="consultantplus://offline/ref=8ED7E60B360FD343B3B9E6A76A227A0C546E352E4C60611299C9E682D54F0AD51E720E804DA03780934A9167A38A265E20A8E36731ED6A4053ED1F47wBADI" TargetMode="External"/><Relationship Id="rId43" Type="http://schemas.openxmlformats.org/officeDocument/2006/relationships/hyperlink" Target="consultantplus://offline/ref=8ED7E60B360FD343B3B9F8AA7C4E2408576568234D62684CC794E0D58A1F0C804C3250D90DE4248093549365A7w8A1I" TargetMode="External"/><Relationship Id="rId8" Type="http://schemas.openxmlformats.org/officeDocument/2006/relationships/hyperlink" Target="consultantplus://offline/ref=8ED7E60B360FD343B3B9E6A76A227A0C546E352E4C6665189DC2E682D54F0AD51E720E804DA03780934A9165A38A265E20A8E36731ED6A4053ED1F47wBADI" TargetMode="External"/><Relationship Id="rId3" Type="http://schemas.openxmlformats.org/officeDocument/2006/relationships/settings" Target="settings.xml"/><Relationship Id="rId12" Type="http://schemas.openxmlformats.org/officeDocument/2006/relationships/hyperlink" Target="consultantplus://offline/ref=8ED7E60B360FD343B3B9E6A76A227A0C546E352E4C65631D9CC9E682D54F0AD51E720E804DA03780934A9165A28A265E20A8E36731ED6A4053ED1F47wBADI" TargetMode="External"/><Relationship Id="rId17" Type="http://schemas.openxmlformats.org/officeDocument/2006/relationships/hyperlink" Target="consultantplus://offline/ref=8ED7E60B360FD343B3B9E6A76A227A0C546E352E4C60611299C9E682D54F0AD51E720E804DA03780934A9167A68A265E20A8E36731ED6A4053ED1F47wBADI" TargetMode="External"/><Relationship Id="rId25" Type="http://schemas.openxmlformats.org/officeDocument/2006/relationships/hyperlink" Target="consultantplus://offline/ref=8ED7E60B360FD343B3B9E6A76A227A0C546E352E4C65631D9CC9E682D54F0AD51E720E804DA03780934A9164A38A265E20A8E36731ED6A4053ED1F47wBADI" TargetMode="External"/><Relationship Id="rId33" Type="http://schemas.openxmlformats.org/officeDocument/2006/relationships/hyperlink" Target="consultantplus://offline/ref=8ED7E60B360FD343B3B9E6A76A227A0C546E352E4C60611299C9E682D54F0AD51E720E804DA03780934A9167A38A265E20A8E36731ED6A4053ED1F47wBADI" TargetMode="External"/><Relationship Id="rId38" Type="http://schemas.openxmlformats.org/officeDocument/2006/relationships/hyperlink" Target="consultantplus://offline/ref=8ED7E60B360FD343B3B9E6A76A227A0C546E352E4C60671B9AC5E682D54F0AD51E720E804DA03780934A9867A08A265E20A8E36731ED6A4053ED1F47wBADI" TargetMode="External"/><Relationship Id="rId46" Type="http://schemas.openxmlformats.org/officeDocument/2006/relationships/fontTable" Target="fontTable.xml"/><Relationship Id="rId20" Type="http://schemas.openxmlformats.org/officeDocument/2006/relationships/hyperlink" Target="consultantplus://offline/ref=8ED7E60B360FD343B3B9F8AA7C4E240856606C214465684CC794E0D58A1F0C805E3208D70CE6338AC71BD530A882721165FDF06631F1w6ABI" TargetMode="External"/><Relationship Id="rId41" Type="http://schemas.openxmlformats.org/officeDocument/2006/relationships/hyperlink" Target="consultantplus://offline/ref=8ED7E60B360FD343B3B9F8AA7C4E240857656C214862684CC794E0D58A1F0C804C3250D90DE4248093549365A7w8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4468</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2020-11-24T07:14:00Z</dcterms:created>
  <dcterms:modified xsi:type="dcterms:W3CDTF">2020-11-24T07:14:00Z</dcterms:modified>
</cp:coreProperties>
</file>